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EF" w:rsidRDefault="007D37EF"/>
    <w:p w:rsidR="007D37EF" w:rsidRDefault="007D37EF" w:rsidP="007D37EF">
      <w:pPr>
        <w:jc w:val="right"/>
      </w:pPr>
      <w:r>
        <w:rPr>
          <w:noProof/>
          <w:color w:val="15992B"/>
          <w:sz w:val="52"/>
          <w:szCs w:val="52"/>
        </w:rPr>
        <w:drawing>
          <wp:inline distT="0" distB="0" distL="0" distR="0">
            <wp:extent cx="1490803" cy="71791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_logo_png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508" cy="743299"/>
                    </a:xfrm>
                    <a:prstGeom prst="rect">
                      <a:avLst/>
                    </a:prstGeom>
                  </pic:spPr>
                </pic:pic>
              </a:graphicData>
            </a:graphic>
          </wp:inline>
        </w:drawing>
      </w:r>
    </w:p>
    <w:p w:rsidR="007D37EF" w:rsidRDefault="007D37EF" w:rsidP="007D37EF">
      <w:pPr>
        <w:jc w:val="center"/>
        <w:rPr>
          <w:b/>
          <w:sz w:val="72"/>
          <w:szCs w:val="72"/>
        </w:rPr>
      </w:pPr>
    </w:p>
    <w:p w:rsidR="007D37EF" w:rsidRDefault="007D37EF" w:rsidP="007D37EF">
      <w:pPr>
        <w:jc w:val="center"/>
        <w:rPr>
          <w:b/>
          <w:sz w:val="72"/>
          <w:szCs w:val="72"/>
        </w:rPr>
      </w:pPr>
    </w:p>
    <w:p w:rsidR="007D37EF" w:rsidRDefault="007D37EF" w:rsidP="007D37EF">
      <w:pPr>
        <w:jc w:val="center"/>
        <w:rPr>
          <w:b/>
          <w:sz w:val="72"/>
          <w:szCs w:val="72"/>
        </w:rPr>
      </w:pPr>
    </w:p>
    <w:p w:rsidR="007D37EF" w:rsidRDefault="007D37EF" w:rsidP="007D37EF">
      <w:pPr>
        <w:jc w:val="center"/>
        <w:rPr>
          <w:b/>
          <w:sz w:val="72"/>
          <w:szCs w:val="72"/>
        </w:rPr>
      </w:pPr>
    </w:p>
    <w:p w:rsidR="007D37EF" w:rsidRDefault="007D37EF" w:rsidP="00840513">
      <w:pPr>
        <w:jc w:val="center"/>
        <w:rPr>
          <w:b/>
          <w:sz w:val="72"/>
          <w:szCs w:val="72"/>
        </w:rPr>
      </w:pPr>
      <w:r w:rsidRPr="00D1453E">
        <w:rPr>
          <w:b/>
          <w:sz w:val="72"/>
          <w:szCs w:val="72"/>
        </w:rPr>
        <w:t xml:space="preserve">Complaints Handling </w:t>
      </w:r>
      <w:r w:rsidR="00840513">
        <w:rPr>
          <w:b/>
          <w:sz w:val="72"/>
          <w:szCs w:val="72"/>
        </w:rPr>
        <w:t>First Quarter Report</w:t>
      </w: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7D37EF" w:rsidRDefault="007D37EF" w:rsidP="007D37EF">
      <w:pPr>
        <w:jc w:val="center"/>
      </w:pPr>
    </w:p>
    <w:p w:rsidR="00C6577D" w:rsidRDefault="00840513" w:rsidP="007D37EF">
      <w:pPr>
        <w:jc w:val="center"/>
        <w:rPr>
          <w:b/>
          <w:sz w:val="48"/>
          <w:szCs w:val="48"/>
        </w:rPr>
      </w:pPr>
      <w:r>
        <w:rPr>
          <w:b/>
          <w:sz w:val="48"/>
          <w:szCs w:val="48"/>
        </w:rPr>
        <w:t xml:space="preserve">August – October </w:t>
      </w:r>
      <w:r w:rsidR="007D37EF" w:rsidRPr="005F6A68">
        <w:rPr>
          <w:b/>
          <w:sz w:val="48"/>
          <w:szCs w:val="48"/>
        </w:rPr>
        <w:t>202</w:t>
      </w:r>
      <w:r w:rsidR="00AB041B">
        <w:rPr>
          <w:b/>
          <w:sz w:val="48"/>
          <w:szCs w:val="48"/>
        </w:rPr>
        <w:t>3</w:t>
      </w:r>
    </w:p>
    <w:p w:rsidR="007D37EF" w:rsidRDefault="007D37EF" w:rsidP="007D37EF">
      <w:pPr>
        <w:jc w:val="center"/>
      </w:pPr>
    </w:p>
    <w:p w:rsidR="007D37EF" w:rsidRDefault="007D37EF" w:rsidP="007D37EF">
      <w:pPr>
        <w:jc w:val="center"/>
      </w:pPr>
    </w:p>
    <w:p w:rsidR="007D37EF" w:rsidRDefault="007D37EF" w:rsidP="007D37EF">
      <w:pPr>
        <w:jc w:val="center"/>
      </w:pPr>
    </w:p>
    <w:p w:rsidR="00D1453E" w:rsidRDefault="00D1453E">
      <w:pPr>
        <w:sectPr w:rsidR="00D1453E" w:rsidSect="00156C3A">
          <w:headerReference w:type="default" r:id="rId9"/>
          <w:footerReference w:type="default" r:id="rId10"/>
          <w:pgSz w:w="11906" w:h="16838" w:code="9"/>
          <w:pgMar w:top="1418" w:right="1418" w:bottom="1418" w:left="1418" w:header="737" w:footer="737" w:gutter="0"/>
          <w:cols w:space="708"/>
          <w:docGrid w:linePitch="360"/>
        </w:sectPr>
      </w:pPr>
    </w:p>
    <w:p w:rsidR="00D1453E" w:rsidRPr="003A12D9" w:rsidRDefault="00F15CF9" w:rsidP="003A12D9">
      <w:pPr>
        <w:rPr>
          <w:b/>
          <w:color w:val="852B45"/>
          <w:sz w:val="32"/>
          <w:szCs w:val="32"/>
        </w:rPr>
      </w:pPr>
      <w:r w:rsidRPr="003A12D9">
        <w:rPr>
          <w:b/>
          <w:color w:val="852B45"/>
          <w:sz w:val="32"/>
          <w:szCs w:val="32"/>
        </w:rPr>
        <w:lastRenderedPageBreak/>
        <w:t>Contents</w:t>
      </w:r>
    </w:p>
    <w:p w:rsidR="003A12D9" w:rsidRPr="003A12D9" w:rsidRDefault="003A12D9" w:rsidP="003A12D9"/>
    <w:p w:rsidR="005E05D4" w:rsidRDefault="003C2605">
      <w:pPr>
        <w:pStyle w:val="TOC1"/>
        <w:tabs>
          <w:tab w:val="right" w:leader="dot" w:pos="9060"/>
        </w:tabs>
        <w:rPr>
          <w:rFonts w:asciiTheme="minorHAnsi" w:hAnsiTheme="minorHAnsi" w:cstheme="minorBidi"/>
          <w:noProof/>
          <w:color w:val="auto"/>
          <w:lang w:val="en-GB" w:eastAsia="en-GB"/>
        </w:rPr>
      </w:pPr>
      <w:r>
        <w:fldChar w:fldCharType="begin"/>
      </w:r>
      <w:r>
        <w:instrText xml:space="preserve"> TOC \o "1-2" \h \z \u </w:instrText>
      </w:r>
      <w:r>
        <w:fldChar w:fldCharType="separate"/>
      </w:r>
      <w:hyperlink w:anchor="_Toc149811894" w:history="1">
        <w:r w:rsidR="005E05D4" w:rsidRPr="00E3345A">
          <w:rPr>
            <w:rStyle w:val="Hyperlink"/>
            <w:noProof/>
          </w:rPr>
          <w:t>Indicator 1:  Total number of complaints received at Stages 1 &amp; 2</w:t>
        </w:r>
        <w:r w:rsidR="005E05D4">
          <w:rPr>
            <w:noProof/>
            <w:webHidden/>
          </w:rPr>
          <w:tab/>
        </w:r>
        <w:r w:rsidR="005E05D4">
          <w:rPr>
            <w:noProof/>
            <w:webHidden/>
          </w:rPr>
          <w:fldChar w:fldCharType="begin"/>
        </w:r>
        <w:r w:rsidR="005E05D4">
          <w:rPr>
            <w:noProof/>
            <w:webHidden/>
          </w:rPr>
          <w:instrText xml:space="preserve"> PAGEREF _Toc149811894 \h </w:instrText>
        </w:r>
        <w:r w:rsidR="005E05D4">
          <w:rPr>
            <w:noProof/>
            <w:webHidden/>
          </w:rPr>
        </w:r>
        <w:r w:rsidR="005E05D4">
          <w:rPr>
            <w:noProof/>
            <w:webHidden/>
          </w:rPr>
          <w:fldChar w:fldCharType="separate"/>
        </w:r>
        <w:r w:rsidR="005E05D4">
          <w:rPr>
            <w:noProof/>
            <w:webHidden/>
          </w:rPr>
          <w:t>3</w:t>
        </w:r>
        <w:r w:rsidR="005E05D4">
          <w:rPr>
            <w:noProof/>
            <w:webHidden/>
          </w:rPr>
          <w:fldChar w:fldCharType="end"/>
        </w:r>
      </w:hyperlink>
    </w:p>
    <w:p w:rsidR="005E05D4" w:rsidRDefault="008634CD">
      <w:pPr>
        <w:pStyle w:val="TOC1"/>
        <w:tabs>
          <w:tab w:val="right" w:leader="dot" w:pos="9060"/>
        </w:tabs>
        <w:rPr>
          <w:rFonts w:asciiTheme="minorHAnsi" w:hAnsiTheme="minorHAnsi" w:cstheme="minorBidi"/>
          <w:noProof/>
          <w:color w:val="auto"/>
          <w:lang w:val="en-GB" w:eastAsia="en-GB"/>
        </w:rPr>
      </w:pPr>
      <w:hyperlink w:anchor="_Toc149811895" w:history="1">
        <w:r w:rsidR="005E05D4" w:rsidRPr="00E3345A">
          <w:rPr>
            <w:rStyle w:val="Hyperlink"/>
            <w:noProof/>
          </w:rPr>
          <w:t>Indicator 2:  The number and percentage of complaints at each stage which were closed within the set timescales of 5 &amp; 20 working days</w:t>
        </w:r>
        <w:r w:rsidR="005E05D4">
          <w:rPr>
            <w:noProof/>
            <w:webHidden/>
          </w:rPr>
          <w:tab/>
        </w:r>
        <w:r w:rsidR="005E05D4">
          <w:rPr>
            <w:noProof/>
            <w:webHidden/>
          </w:rPr>
          <w:fldChar w:fldCharType="begin"/>
        </w:r>
        <w:r w:rsidR="005E05D4">
          <w:rPr>
            <w:noProof/>
            <w:webHidden/>
          </w:rPr>
          <w:instrText xml:space="preserve"> PAGEREF _Toc149811895 \h </w:instrText>
        </w:r>
        <w:r w:rsidR="005E05D4">
          <w:rPr>
            <w:noProof/>
            <w:webHidden/>
          </w:rPr>
        </w:r>
        <w:r w:rsidR="005E05D4">
          <w:rPr>
            <w:noProof/>
            <w:webHidden/>
          </w:rPr>
          <w:fldChar w:fldCharType="separate"/>
        </w:r>
        <w:r w:rsidR="005E05D4">
          <w:rPr>
            <w:noProof/>
            <w:webHidden/>
          </w:rPr>
          <w:t>3</w:t>
        </w:r>
        <w:r w:rsidR="005E05D4">
          <w:rPr>
            <w:noProof/>
            <w:webHidden/>
          </w:rPr>
          <w:fldChar w:fldCharType="end"/>
        </w:r>
      </w:hyperlink>
    </w:p>
    <w:p w:rsidR="005E05D4" w:rsidRDefault="008634CD">
      <w:pPr>
        <w:pStyle w:val="TOC1"/>
        <w:tabs>
          <w:tab w:val="right" w:leader="dot" w:pos="9060"/>
        </w:tabs>
        <w:rPr>
          <w:rFonts w:asciiTheme="minorHAnsi" w:hAnsiTheme="minorHAnsi" w:cstheme="minorBidi"/>
          <w:noProof/>
          <w:color w:val="auto"/>
          <w:lang w:val="en-GB" w:eastAsia="en-GB"/>
        </w:rPr>
      </w:pPr>
      <w:hyperlink w:anchor="_Toc149811896" w:history="1">
        <w:r w:rsidR="005E05D4" w:rsidRPr="00E3345A">
          <w:rPr>
            <w:rStyle w:val="Hyperlink"/>
            <w:noProof/>
          </w:rPr>
          <w:t>Indicator 3: The average time in working days for a full response to complaints at each stage</w:t>
        </w:r>
        <w:r w:rsidR="005E05D4">
          <w:rPr>
            <w:noProof/>
            <w:webHidden/>
          </w:rPr>
          <w:tab/>
        </w:r>
        <w:r w:rsidR="005E05D4">
          <w:rPr>
            <w:noProof/>
            <w:webHidden/>
          </w:rPr>
          <w:fldChar w:fldCharType="begin"/>
        </w:r>
        <w:r w:rsidR="005E05D4">
          <w:rPr>
            <w:noProof/>
            <w:webHidden/>
          </w:rPr>
          <w:instrText xml:space="preserve"> PAGEREF _Toc149811896 \h </w:instrText>
        </w:r>
        <w:r w:rsidR="005E05D4">
          <w:rPr>
            <w:noProof/>
            <w:webHidden/>
          </w:rPr>
        </w:r>
        <w:r w:rsidR="005E05D4">
          <w:rPr>
            <w:noProof/>
            <w:webHidden/>
          </w:rPr>
          <w:fldChar w:fldCharType="separate"/>
        </w:r>
        <w:r w:rsidR="005E05D4">
          <w:rPr>
            <w:noProof/>
            <w:webHidden/>
          </w:rPr>
          <w:t>3</w:t>
        </w:r>
        <w:r w:rsidR="005E05D4">
          <w:rPr>
            <w:noProof/>
            <w:webHidden/>
          </w:rPr>
          <w:fldChar w:fldCharType="end"/>
        </w:r>
      </w:hyperlink>
    </w:p>
    <w:p w:rsidR="005E05D4" w:rsidRDefault="008634CD">
      <w:pPr>
        <w:pStyle w:val="TOC1"/>
        <w:tabs>
          <w:tab w:val="right" w:leader="dot" w:pos="9060"/>
        </w:tabs>
        <w:rPr>
          <w:rFonts w:asciiTheme="minorHAnsi" w:hAnsiTheme="minorHAnsi" w:cstheme="minorBidi"/>
          <w:noProof/>
          <w:color w:val="auto"/>
          <w:lang w:val="en-GB" w:eastAsia="en-GB"/>
        </w:rPr>
      </w:pPr>
      <w:hyperlink w:anchor="_Toc149811897" w:history="1">
        <w:r w:rsidR="005E05D4" w:rsidRPr="00E3345A">
          <w:rPr>
            <w:rStyle w:val="Hyperlink"/>
            <w:noProof/>
          </w:rPr>
          <w:t>Indicator 4:  The outcome of complaints at each stage</w:t>
        </w:r>
        <w:r w:rsidR="005E05D4">
          <w:rPr>
            <w:noProof/>
            <w:webHidden/>
          </w:rPr>
          <w:tab/>
        </w:r>
        <w:r w:rsidR="005E05D4">
          <w:rPr>
            <w:noProof/>
            <w:webHidden/>
          </w:rPr>
          <w:fldChar w:fldCharType="begin"/>
        </w:r>
        <w:r w:rsidR="005E05D4">
          <w:rPr>
            <w:noProof/>
            <w:webHidden/>
          </w:rPr>
          <w:instrText xml:space="preserve"> PAGEREF _Toc149811897 \h </w:instrText>
        </w:r>
        <w:r w:rsidR="005E05D4">
          <w:rPr>
            <w:noProof/>
            <w:webHidden/>
          </w:rPr>
        </w:r>
        <w:r w:rsidR="005E05D4">
          <w:rPr>
            <w:noProof/>
            <w:webHidden/>
          </w:rPr>
          <w:fldChar w:fldCharType="separate"/>
        </w:r>
        <w:r w:rsidR="005E05D4">
          <w:rPr>
            <w:noProof/>
            <w:webHidden/>
          </w:rPr>
          <w:t>3</w:t>
        </w:r>
        <w:r w:rsidR="005E05D4">
          <w:rPr>
            <w:noProof/>
            <w:webHidden/>
          </w:rPr>
          <w:fldChar w:fldCharType="end"/>
        </w:r>
      </w:hyperlink>
    </w:p>
    <w:p w:rsidR="005E05D4" w:rsidRDefault="008634CD">
      <w:pPr>
        <w:pStyle w:val="TOC1"/>
        <w:tabs>
          <w:tab w:val="right" w:leader="dot" w:pos="9060"/>
        </w:tabs>
        <w:rPr>
          <w:rFonts w:asciiTheme="minorHAnsi" w:hAnsiTheme="minorHAnsi" w:cstheme="minorBidi"/>
          <w:noProof/>
          <w:color w:val="auto"/>
          <w:lang w:val="en-GB" w:eastAsia="en-GB"/>
        </w:rPr>
      </w:pPr>
      <w:hyperlink w:anchor="_Toc149811898" w:history="1">
        <w:r w:rsidR="005E05D4" w:rsidRPr="00E3345A">
          <w:rPr>
            <w:rStyle w:val="Hyperlink"/>
            <w:noProof/>
          </w:rPr>
          <w:t>Learning from Complaints (LFC)</w:t>
        </w:r>
        <w:r w:rsidR="005E05D4">
          <w:rPr>
            <w:noProof/>
            <w:webHidden/>
          </w:rPr>
          <w:tab/>
        </w:r>
        <w:r w:rsidR="005E05D4">
          <w:rPr>
            <w:noProof/>
            <w:webHidden/>
          </w:rPr>
          <w:fldChar w:fldCharType="begin"/>
        </w:r>
        <w:r w:rsidR="005E05D4">
          <w:rPr>
            <w:noProof/>
            <w:webHidden/>
          </w:rPr>
          <w:instrText xml:space="preserve"> PAGEREF _Toc149811898 \h </w:instrText>
        </w:r>
        <w:r w:rsidR="005E05D4">
          <w:rPr>
            <w:noProof/>
            <w:webHidden/>
          </w:rPr>
        </w:r>
        <w:r w:rsidR="005E05D4">
          <w:rPr>
            <w:noProof/>
            <w:webHidden/>
          </w:rPr>
          <w:fldChar w:fldCharType="separate"/>
        </w:r>
        <w:r w:rsidR="005E05D4">
          <w:rPr>
            <w:noProof/>
            <w:webHidden/>
          </w:rPr>
          <w:t>4</w:t>
        </w:r>
        <w:r w:rsidR="005E05D4">
          <w:rPr>
            <w:noProof/>
            <w:webHidden/>
          </w:rPr>
          <w:fldChar w:fldCharType="end"/>
        </w:r>
      </w:hyperlink>
    </w:p>
    <w:p w:rsidR="005E05D4" w:rsidRDefault="008634CD">
      <w:pPr>
        <w:pStyle w:val="TOC1"/>
        <w:tabs>
          <w:tab w:val="right" w:leader="dot" w:pos="9060"/>
        </w:tabs>
        <w:rPr>
          <w:rFonts w:asciiTheme="minorHAnsi" w:hAnsiTheme="minorHAnsi" w:cstheme="minorBidi"/>
          <w:noProof/>
          <w:color w:val="auto"/>
          <w:lang w:val="en-GB" w:eastAsia="en-GB"/>
        </w:rPr>
      </w:pPr>
      <w:hyperlink w:anchor="_Toc149811899" w:history="1">
        <w:r w:rsidR="005E05D4" w:rsidRPr="00E3345A">
          <w:rPr>
            <w:rStyle w:val="Hyperlink"/>
            <w:noProof/>
          </w:rPr>
          <w:t>Customer satisfaction with the complaints process</w:t>
        </w:r>
        <w:r w:rsidR="005E05D4">
          <w:rPr>
            <w:noProof/>
            <w:webHidden/>
          </w:rPr>
          <w:tab/>
        </w:r>
        <w:r w:rsidR="005E05D4">
          <w:rPr>
            <w:noProof/>
            <w:webHidden/>
          </w:rPr>
          <w:fldChar w:fldCharType="begin"/>
        </w:r>
        <w:r w:rsidR="005E05D4">
          <w:rPr>
            <w:noProof/>
            <w:webHidden/>
          </w:rPr>
          <w:instrText xml:space="preserve"> PAGEREF _Toc149811899 \h </w:instrText>
        </w:r>
        <w:r w:rsidR="005E05D4">
          <w:rPr>
            <w:noProof/>
            <w:webHidden/>
          </w:rPr>
        </w:r>
        <w:r w:rsidR="005E05D4">
          <w:rPr>
            <w:noProof/>
            <w:webHidden/>
          </w:rPr>
          <w:fldChar w:fldCharType="separate"/>
        </w:r>
        <w:r w:rsidR="005E05D4">
          <w:rPr>
            <w:noProof/>
            <w:webHidden/>
          </w:rPr>
          <w:t>4</w:t>
        </w:r>
        <w:r w:rsidR="005E05D4">
          <w:rPr>
            <w:noProof/>
            <w:webHidden/>
          </w:rPr>
          <w:fldChar w:fldCharType="end"/>
        </w:r>
      </w:hyperlink>
    </w:p>
    <w:p w:rsidR="005E05D4" w:rsidRDefault="008634CD">
      <w:pPr>
        <w:pStyle w:val="TOC1"/>
        <w:tabs>
          <w:tab w:val="right" w:leader="dot" w:pos="9060"/>
        </w:tabs>
        <w:rPr>
          <w:rFonts w:asciiTheme="minorHAnsi" w:hAnsiTheme="minorHAnsi" w:cstheme="minorBidi"/>
          <w:noProof/>
          <w:color w:val="auto"/>
          <w:lang w:val="en-GB" w:eastAsia="en-GB"/>
        </w:rPr>
      </w:pPr>
      <w:hyperlink w:anchor="_Toc149811900" w:history="1">
        <w:r w:rsidR="005E05D4" w:rsidRPr="00E3345A">
          <w:rPr>
            <w:rStyle w:val="Hyperlink"/>
            <w:noProof/>
          </w:rPr>
          <w:t>Compliments</w:t>
        </w:r>
        <w:r w:rsidR="005E05D4">
          <w:rPr>
            <w:noProof/>
            <w:webHidden/>
          </w:rPr>
          <w:tab/>
        </w:r>
        <w:r w:rsidR="005E05D4">
          <w:rPr>
            <w:noProof/>
            <w:webHidden/>
          </w:rPr>
          <w:fldChar w:fldCharType="begin"/>
        </w:r>
        <w:r w:rsidR="005E05D4">
          <w:rPr>
            <w:noProof/>
            <w:webHidden/>
          </w:rPr>
          <w:instrText xml:space="preserve"> PAGEREF _Toc149811900 \h </w:instrText>
        </w:r>
        <w:r w:rsidR="005E05D4">
          <w:rPr>
            <w:noProof/>
            <w:webHidden/>
          </w:rPr>
        </w:r>
        <w:r w:rsidR="005E05D4">
          <w:rPr>
            <w:noProof/>
            <w:webHidden/>
          </w:rPr>
          <w:fldChar w:fldCharType="separate"/>
        </w:r>
        <w:r w:rsidR="005E05D4">
          <w:rPr>
            <w:noProof/>
            <w:webHidden/>
          </w:rPr>
          <w:t>4</w:t>
        </w:r>
        <w:r w:rsidR="005E05D4">
          <w:rPr>
            <w:noProof/>
            <w:webHidden/>
          </w:rPr>
          <w:fldChar w:fldCharType="end"/>
        </w:r>
      </w:hyperlink>
    </w:p>
    <w:p w:rsidR="00F15CF9" w:rsidRDefault="003C2605" w:rsidP="003C2605">
      <w:pPr>
        <w:pStyle w:val="TOC3"/>
      </w:pPr>
      <w:r>
        <w:fldChar w:fldCharType="end"/>
      </w:r>
    </w:p>
    <w:p w:rsidR="004E3F36" w:rsidRPr="004E3F36" w:rsidRDefault="003C2605" w:rsidP="00620CF7">
      <w:pPr>
        <w:pStyle w:val="Heading1"/>
      </w:pPr>
      <w:r>
        <w:br w:type="page"/>
      </w:r>
    </w:p>
    <w:p w:rsidR="0086454C" w:rsidRDefault="0086454C" w:rsidP="002F0137">
      <w:pPr>
        <w:rPr>
          <w:rFonts w:cs="Arial"/>
        </w:rPr>
      </w:pPr>
    </w:p>
    <w:p w:rsidR="00620CF7" w:rsidRDefault="00620CF7" w:rsidP="00620CF7">
      <w:pPr>
        <w:pStyle w:val="Heading1"/>
      </w:pPr>
      <w:bookmarkStart w:id="0" w:name="_Toc149811894"/>
      <w:r>
        <w:t>Indicator 1:  Total number of complaints received at Stages 1 &amp; 2</w:t>
      </w:r>
      <w:bookmarkEnd w:id="0"/>
    </w:p>
    <w:p w:rsidR="00620CF7" w:rsidRDefault="00620CF7" w:rsidP="00620CF7">
      <w:pPr>
        <w:rPr>
          <w:b/>
        </w:rPr>
      </w:pPr>
    </w:p>
    <w:tbl>
      <w:tblPr>
        <w:tblW w:w="9120" w:type="dxa"/>
        <w:tblLook w:val="04A0" w:firstRow="1" w:lastRow="0" w:firstColumn="1" w:lastColumn="0" w:noHBand="0" w:noVBand="1"/>
      </w:tblPr>
      <w:tblGrid>
        <w:gridCol w:w="2580"/>
        <w:gridCol w:w="3440"/>
        <w:gridCol w:w="3100"/>
      </w:tblGrid>
      <w:tr w:rsidR="00620CF7" w:rsidRPr="00BE3D45" w:rsidTr="00380F73">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CF7" w:rsidRPr="00BE3D45" w:rsidRDefault="00620CF7" w:rsidP="00380F73">
            <w:pPr>
              <w:rPr>
                <w:b/>
                <w:lang w:eastAsia="en-GB"/>
              </w:rPr>
            </w:pPr>
            <w:r>
              <w:rPr>
                <w:b/>
                <w:lang w:eastAsia="en-GB"/>
              </w:rPr>
              <w:t>Quarter</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620CF7" w:rsidRPr="00BE3D45" w:rsidRDefault="00620CF7" w:rsidP="00380F73">
            <w:pPr>
              <w:rPr>
                <w:b/>
                <w:lang w:eastAsia="en-GB"/>
              </w:rPr>
            </w:pPr>
            <w:r w:rsidRPr="00BE3D45">
              <w:rPr>
                <w:b/>
                <w:lang w:eastAsia="en-GB"/>
              </w:rPr>
              <w:t xml:space="preserve">Level 1 Complaints </w:t>
            </w:r>
            <w:r>
              <w:rPr>
                <w:b/>
                <w:lang w:eastAsia="en-GB"/>
              </w:rPr>
              <w:t>(includes escalated complaints</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620CF7" w:rsidRPr="00BE3D45" w:rsidRDefault="00620CF7" w:rsidP="00380F73">
            <w:pPr>
              <w:rPr>
                <w:b/>
                <w:lang w:eastAsia="en-GB"/>
              </w:rPr>
            </w:pPr>
            <w:r w:rsidRPr="00BE3D45">
              <w:rPr>
                <w:b/>
                <w:lang w:eastAsia="en-GB"/>
              </w:rPr>
              <w:t xml:space="preserve">Level 2 Complaints </w:t>
            </w:r>
          </w:p>
        </w:tc>
      </w:tr>
      <w:tr w:rsidR="00620CF7" w:rsidRPr="00A00D9B" w:rsidTr="00E7327F">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20CF7" w:rsidRPr="00A00D9B" w:rsidRDefault="00620CF7" w:rsidP="00380F73">
            <w:pPr>
              <w:rPr>
                <w:lang w:eastAsia="en-GB"/>
              </w:rPr>
            </w:pPr>
            <w:r>
              <w:rPr>
                <w:lang w:eastAsia="en-GB"/>
              </w:rPr>
              <w:t>August – October 202</w:t>
            </w:r>
            <w:r w:rsidR="00E7327F">
              <w:rPr>
                <w:lang w:eastAsia="en-GB"/>
              </w:rPr>
              <w:t>3</w:t>
            </w:r>
          </w:p>
        </w:tc>
        <w:tc>
          <w:tcPr>
            <w:tcW w:w="3440" w:type="dxa"/>
            <w:tcBorders>
              <w:top w:val="nil"/>
              <w:left w:val="nil"/>
              <w:bottom w:val="single" w:sz="4" w:space="0" w:color="auto"/>
              <w:right w:val="single" w:sz="4" w:space="0" w:color="auto"/>
            </w:tcBorders>
            <w:shd w:val="clear" w:color="auto" w:fill="auto"/>
            <w:noWrap/>
            <w:vAlign w:val="bottom"/>
          </w:tcPr>
          <w:p w:rsidR="00620CF7" w:rsidRPr="00A00D9B" w:rsidRDefault="000959B8" w:rsidP="00380F73">
            <w:pPr>
              <w:jc w:val="center"/>
              <w:rPr>
                <w:lang w:eastAsia="en-GB"/>
              </w:rPr>
            </w:pPr>
            <w:r>
              <w:rPr>
                <w:lang w:eastAsia="en-GB"/>
              </w:rPr>
              <w:t>50 (</w:t>
            </w:r>
            <w:r w:rsidR="009C0887">
              <w:rPr>
                <w:lang w:eastAsia="en-GB"/>
              </w:rPr>
              <w:t>7</w:t>
            </w:r>
            <w:r>
              <w:rPr>
                <w:lang w:eastAsia="en-GB"/>
              </w:rPr>
              <w:t xml:space="preserve"> escalated)</w:t>
            </w:r>
          </w:p>
        </w:tc>
        <w:tc>
          <w:tcPr>
            <w:tcW w:w="3100" w:type="dxa"/>
            <w:tcBorders>
              <w:top w:val="nil"/>
              <w:left w:val="nil"/>
              <w:bottom w:val="single" w:sz="4" w:space="0" w:color="auto"/>
              <w:right w:val="single" w:sz="4" w:space="0" w:color="auto"/>
            </w:tcBorders>
            <w:shd w:val="clear" w:color="auto" w:fill="auto"/>
            <w:noWrap/>
            <w:vAlign w:val="bottom"/>
          </w:tcPr>
          <w:p w:rsidR="00620CF7" w:rsidRPr="00A00D9B" w:rsidRDefault="000959B8" w:rsidP="00380F73">
            <w:pPr>
              <w:jc w:val="center"/>
              <w:rPr>
                <w:lang w:eastAsia="en-GB"/>
              </w:rPr>
            </w:pPr>
            <w:r>
              <w:rPr>
                <w:lang w:eastAsia="en-GB"/>
              </w:rPr>
              <w:t>3</w:t>
            </w:r>
          </w:p>
        </w:tc>
      </w:tr>
    </w:tbl>
    <w:p w:rsidR="00620CF7" w:rsidRPr="00267AE5" w:rsidRDefault="00620CF7" w:rsidP="00620CF7"/>
    <w:p w:rsidR="00620CF7" w:rsidRDefault="00620CF7" w:rsidP="00620CF7">
      <w:pPr>
        <w:rPr>
          <w:b/>
        </w:rPr>
      </w:pPr>
    </w:p>
    <w:p w:rsidR="00620CF7" w:rsidRDefault="00620CF7" w:rsidP="00620CF7">
      <w:pPr>
        <w:pStyle w:val="Heading1"/>
      </w:pPr>
      <w:bookmarkStart w:id="1" w:name="_Toc149811895"/>
      <w:r w:rsidRPr="00267AE5">
        <w:t xml:space="preserve">Indicator </w:t>
      </w:r>
      <w:r>
        <w:t>2</w:t>
      </w:r>
      <w:r w:rsidRPr="00267AE5">
        <w:t>:  The number and percentage of complaints at each stage which were closed within the set timescales of 5 &amp; 20 working days</w:t>
      </w:r>
      <w:bookmarkEnd w:id="1"/>
    </w:p>
    <w:p w:rsidR="00620CF7" w:rsidRDefault="00620CF7" w:rsidP="00620CF7">
      <w:pPr>
        <w:rPr>
          <w:b/>
        </w:rPr>
      </w:pPr>
    </w:p>
    <w:p w:rsidR="00620CF7" w:rsidRPr="009C0887" w:rsidRDefault="00620CF7" w:rsidP="00620CF7">
      <w:r w:rsidRPr="00E7327F">
        <w:rPr>
          <w:rFonts w:cs="Arial"/>
          <w:b/>
          <w:color w:val="1F3864" w:themeColor="accent1" w:themeShade="80"/>
        </w:rPr>
        <w:t xml:space="preserve">Stage 1 closed within 5 working days: </w:t>
      </w:r>
      <w:r w:rsidR="000959B8">
        <w:t>3</w:t>
      </w:r>
      <w:r w:rsidR="009C0887">
        <w:t>4</w:t>
      </w:r>
      <w:r w:rsidR="000959B8" w:rsidRPr="000B16E1">
        <w:t xml:space="preserve"> out of </w:t>
      </w:r>
      <w:r w:rsidR="000959B8">
        <w:t>4</w:t>
      </w:r>
      <w:r w:rsidR="00796DAF">
        <w:t>3</w:t>
      </w:r>
      <w:r w:rsidR="000959B8">
        <w:t xml:space="preserve"> </w:t>
      </w:r>
      <w:r w:rsidR="000959B8" w:rsidRPr="000B16E1">
        <w:t>closed complaints, (</w:t>
      </w:r>
      <w:r w:rsidR="000959B8">
        <w:t>79%)</w:t>
      </w:r>
    </w:p>
    <w:p w:rsidR="00620CF7" w:rsidRPr="000959B8" w:rsidRDefault="00620CF7" w:rsidP="000959B8">
      <w:pPr>
        <w:spacing w:before="180"/>
      </w:pPr>
      <w:r w:rsidRPr="00E7327F">
        <w:rPr>
          <w:rFonts w:cs="Arial"/>
          <w:b/>
          <w:color w:val="1F3864" w:themeColor="accent1" w:themeShade="80"/>
        </w:rPr>
        <w:t>Stage 2 closed within 20 working days</w:t>
      </w:r>
      <w:r w:rsidRPr="00E7327F">
        <w:rPr>
          <w:rFonts w:cs="Arial"/>
          <w:color w:val="1F3864" w:themeColor="accent1" w:themeShade="80"/>
        </w:rPr>
        <w:t xml:space="preserve">: </w:t>
      </w:r>
      <w:r w:rsidR="000959B8">
        <w:t>2 out of 3 closed complaints, (67%)</w:t>
      </w:r>
    </w:p>
    <w:p w:rsidR="000959B8" w:rsidRDefault="00620CF7" w:rsidP="000959B8">
      <w:pPr>
        <w:spacing w:before="180"/>
      </w:pPr>
      <w:r w:rsidRPr="00E7327F">
        <w:rPr>
          <w:rFonts w:cs="Arial"/>
          <w:b/>
          <w:color w:val="1F3864" w:themeColor="accent1" w:themeShade="80"/>
        </w:rPr>
        <w:t>Escalated closed within 20 working days</w:t>
      </w:r>
      <w:r w:rsidRPr="00E7327F">
        <w:rPr>
          <w:rFonts w:cs="Arial"/>
          <w:color w:val="1F3864" w:themeColor="accent1" w:themeShade="80"/>
        </w:rPr>
        <w:t>:</w:t>
      </w:r>
      <w:r w:rsidR="000959B8">
        <w:rPr>
          <w:rFonts w:cs="Arial"/>
          <w:color w:val="1F3864" w:themeColor="accent1" w:themeShade="80"/>
        </w:rPr>
        <w:t xml:space="preserve"> </w:t>
      </w:r>
      <w:r w:rsidR="000959B8">
        <w:t xml:space="preserve">6 out of </w:t>
      </w:r>
      <w:r w:rsidR="009C0887">
        <w:t>7</w:t>
      </w:r>
      <w:r w:rsidR="000959B8">
        <w:t xml:space="preserve"> closed (</w:t>
      </w:r>
      <w:r w:rsidR="008634CD">
        <w:t>1</w:t>
      </w:r>
      <w:r w:rsidR="000959B8">
        <w:t xml:space="preserve"> still open at 1/11/23) – 100%</w:t>
      </w:r>
    </w:p>
    <w:p w:rsidR="00620CF7" w:rsidRPr="00E7327F" w:rsidRDefault="00620CF7" w:rsidP="00620CF7">
      <w:pPr>
        <w:rPr>
          <w:rFonts w:cs="Arial"/>
          <w:color w:val="1F3864" w:themeColor="accent1" w:themeShade="80"/>
        </w:rPr>
      </w:pPr>
    </w:p>
    <w:p w:rsidR="00620CF7" w:rsidRDefault="00620CF7" w:rsidP="00620CF7">
      <w:pPr>
        <w:spacing w:after="160" w:line="259" w:lineRule="auto"/>
        <w:rPr>
          <w:b/>
        </w:rPr>
      </w:pPr>
    </w:p>
    <w:p w:rsidR="00620CF7" w:rsidRDefault="00620CF7" w:rsidP="00620CF7">
      <w:pPr>
        <w:pStyle w:val="Heading1"/>
      </w:pPr>
      <w:bookmarkStart w:id="2" w:name="_Toc149811896"/>
      <w:r>
        <w:t>Indicator 3: The average time in working days for a full response to complaints at each stage</w:t>
      </w:r>
      <w:bookmarkEnd w:id="2"/>
    </w:p>
    <w:p w:rsidR="00620CF7" w:rsidRPr="003B5536" w:rsidRDefault="00620CF7" w:rsidP="00620CF7"/>
    <w:p w:rsidR="00E7327F" w:rsidRDefault="00E7327F" w:rsidP="00E7327F">
      <w:r>
        <w:rPr>
          <w:b/>
        </w:rPr>
        <w:t>Stage 1</w:t>
      </w:r>
      <w:r>
        <w:t xml:space="preserve">:  </w:t>
      </w:r>
      <w:r w:rsidR="000959B8">
        <w:t>4</w:t>
      </w:r>
      <w:r w:rsidR="000959B8" w:rsidRPr="00954B83">
        <w:t xml:space="preserve"> working da</w:t>
      </w:r>
      <w:r w:rsidR="000959B8">
        <w:t>ys</w:t>
      </w:r>
      <w:r>
        <w:t xml:space="preserve"> </w:t>
      </w:r>
    </w:p>
    <w:p w:rsidR="00E7327F" w:rsidRDefault="00E7327F" w:rsidP="00E7327F">
      <w:r>
        <w:rPr>
          <w:b/>
        </w:rPr>
        <w:t>Stage 2</w:t>
      </w:r>
      <w:r>
        <w:t>:</w:t>
      </w:r>
      <w:r w:rsidR="000959B8">
        <w:t xml:space="preserve"> </w:t>
      </w:r>
      <w:r w:rsidR="000959B8">
        <w:rPr>
          <w:lang w:eastAsia="en-GB"/>
        </w:rPr>
        <w:t>14 working days</w:t>
      </w:r>
    </w:p>
    <w:p w:rsidR="00E7327F" w:rsidRDefault="00E7327F" w:rsidP="00E7327F">
      <w:r>
        <w:rPr>
          <w:b/>
        </w:rPr>
        <w:t>Escalated:</w:t>
      </w:r>
      <w:r w:rsidR="000959B8">
        <w:rPr>
          <w:b/>
        </w:rPr>
        <w:t xml:space="preserve"> </w:t>
      </w:r>
      <w:r w:rsidR="000959B8">
        <w:rPr>
          <w:lang w:eastAsia="en-GB"/>
        </w:rPr>
        <w:t>12.5</w:t>
      </w:r>
      <w:r w:rsidR="000959B8" w:rsidRPr="00954B83">
        <w:rPr>
          <w:lang w:eastAsia="en-GB"/>
        </w:rPr>
        <w:t xml:space="preserve"> working days</w:t>
      </w:r>
    </w:p>
    <w:p w:rsidR="00620CF7" w:rsidRDefault="00620CF7" w:rsidP="00620CF7">
      <w:pPr>
        <w:rPr>
          <w:b/>
        </w:rPr>
      </w:pPr>
    </w:p>
    <w:p w:rsidR="00620CF7" w:rsidRDefault="00620CF7" w:rsidP="00620CF7">
      <w:pPr>
        <w:rPr>
          <w:b/>
        </w:rPr>
      </w:pPr>
    </w:p>
    <w:p w:rsidR="00620CF7" w:rsidRDefault="00620CF7" w:rsidP="00620CF7">
      <w:pPr>
        <w:pStyle w:val="Heading1"/>
      </w:pPr>
      <w:bookmarkStart w:id="3" w:name="_Toc149811897"/>
      <w:r w:rsidRPr="00E40BDA">
        <w:t>Indicator 4:  The outcome of complaints at each stage</w:t>
      </w:r>
      <w:bookmarkEnd w:id="3"/>
    </w:p>
    <w:p w:rsidR="00620CF7" w:rsidRDefault="00620CF7" w:rsidP="00620CF7">
      <w:pPr>
        <w:rPr>
          <w:b/>
        </w:rPr>
      </w:pPr>
    </w:p>
    <w:tbl>
      <w:tblPr>
        <w:tblStyle w:val="TableGrid"/>
        <w:tblW w:w="9068" w:type="dxa"/>
        <w:tblLook w:val="04A0" w:firstRow="1" w:lastRow="0" w:firstColumn="1" w:lastColumn="0" w:noHBand="0" w:noVBand="1"/>
      </w:tblPr>
      <w:tblGrid>
        <w:gridCol w:w="2122"/>
        <w:gridCol w:w="2265"/>
        <w:gridCol w:w="2265"/>
        <w:gridCol w:w="2416"/>
      </w:tblGrid>
      <w:tr w:rsidR="00620CF7" w:rsidTr="00380F73">
        <w:tc>
          <w:tcPr>
            <w:tcW w:w="2122" w:type="dxa"/>
          </w:tcPr>
          <w:p w:rsidR="00620CF7" w:rsidRDefault="00620CF7" w:rsidP="00380F73">
            <w:pPr>
              <w:rPr>
                <w:b/>
              </w:rPr>
            </w:pPr>
            <w:r>
              <w:rPr>
                <w:b/>
              </w:rPr>
              <w:t>Complaint Outcome</w:t>
            </w:r>
          </w:p>
        </w:tc>
        <w:tc>
          <w:tcPr>
            <w:tcW w:w="2265" w:type="dxa"/>
          </w:tcPr>
          <w:p w:rsidR="00620CF7" w:rsidRDefault="00620CF7" w:rsidP="00380F73">
            <w:pPr>
              <w:rPr>
                <w:b/>
              </w:rPr>
            </w:pPr>
            <w:r>
              <w:rPr>
                <w:b/>
              </w:rPr>
              <w:t>Number of Stage 1 complaints and also as a % of all complaints closed at Stage 1</w:t>
            </w:r>
          </w:p>
        </w:tc>
        <w:tc>
          <w:tcPr>
            <w:tcW w:w="2265" w:type="dxa"/>
          </w:tcPr>
          <w:p w:rsidR="00620CF7" w:rsidRDefault="00620CF7" w:rsidP="00380F73">
            <w:pPr>
              <w:rPr>
                <w:b/>
              </w:rPr>
            </w:pPr>
            <w:r>
              <w:rPr>
                <w:b/>
              </w:rPr>
              <w:t>Number of Stage 2 complaints and also as a % of all complaints closed at Stage 2</w:t>
            </w:r>
          </w:p>
        </w:tc>
        <w:tc>
          <w:tcPr>
            <w:tcW w:w="2416" w:type="dxa"/>
          </w:tcPr>
          <w:p w:rsidR="00620CF7" w:rsidRDefault="00620CF7" w:rsidP="00380F73">
            <w:pPr>
              <w:rPr>
                <w:b/>
              </w:rPr>
            </w:pPr>
            <w:r>
              <w:rPr>
                <w:b/>
              </w:rPr>
              <w:t>Number of Escalated complaints and also as a % of all complaints closed after Escalation</w:t>
            </w:r>
          </w:p>
        </w:tc>
      </w:tr>
      <w:tr w:rsidR="00620CF7" w:rsidTr="00380F73">
        <w:tc>
          <w:tcPr>
            <w:tcW w:w="2122" w:type="dxa"/>
          </w:tcPr>
          <w:p w:rsidR="00620CF7" w:rsidRDefault="00620CF7" w:rsidP="00380F73">
            <w:pPr>
              <w:rPr>
                <w:b/>
              </w:rPr>
            </w:pPr>
            <w:r>
              <w:rPr>
                <w:b/>
              </w:rPr>
              <w:t xml:space="preserve">Upheld </w:t>
            </w:r>
          </w:p>
        </w:tc>
        <w:tc>
          <w:tcPr>
            <w:tcW w:w="2265" w:type="dxa"/>
          </w:tcPr>
          <w:p w:rsidR="00620CF7" w:rsidRPr="00562981" w:rsidRDefault="00796DAF" w:rsidP="00380F73">
            <w:pPr>
              <w:jc w:val="center"/>
            </w:pPr>
            <w:r>
              <w:t>1 (2%)</w:t>
            </w:r>
          </w:p>
        </w:tc>
        <w:tc>
          <w:tcPr>
            <w:tcW w:w="2265" w:type="dxa"/>
          </w:tcPr>
          <w:p w:rsidR="00620CF7" w:rsidRPr="00562981" w:rsidRDefault="00796DAF" w:rsidP="00380F73">
            <w:pPr>
              <w:jc w:val="center"/>
            </w:pPr>
            <w:r>
              <w:t>0</w:t>
            </w:r>
          </w:p>
        </w:tc>
        <w:tc>
          <w:tcPr>
            <w:tcW w:w="2416" w:type="dxa"/>
          </w:tcPr>
          <w:p w:rsidR="00620CF7" w:rsidRPr="00562981" w:rsidRDefault="00796DAF" w:rsidP="00380F73">
            <w:pPr>
              <w:jc w:val="center"/>
            </w:pPr>
            <w:r>
              <w:t>0</w:t>
            </w:r>
          </w:p>
        </w:tc>
      </w:tr>
      <w:tr w:rsidR="00620CF7" w:rsidTr="00380F73">
        <w:tc>
          <w:tcPr>
            <w:tcW w:w="2122" w:type="dxa"/>
          </w:tcPr>
          <w:p w:rsidR="00620CF7" w:rsidRDefault="00620CF7" w:rsidP="00380F73">
            <w:pPr>
              <w:rPr>
                <w:b/>
              </w:rPr>
            </w:pPr>
            <w:r>
              <w:rPr>
                <w:b/>
              </w:rPr>
              <w:t>Partially upheld</w:t>
            </w:r>
          </w:p>
        </w:tc>
        <w:tc>
          <w:tcPr>
            <w:tcW w:w="2265" w:type="dxa"/>
          </w:tcPr>
          <w:p w:rsidR="00620CF7" w:rsidRPr="00562981" w:rsidRDefault="00796DAF" w:rsidP="00380F73">
            <w:pPr>
              <w:jc w:val="center"/>
            </w:pPr>
            <w:r>
              <w:t>25 (58%)</w:t>
            </w:r>
          </w:p>
        </w:tc>
        <w:tc>
          <w:tcPr>
            <w:tcW w:w="2265" w:type="dxa"/>
          </w:tcPr>
          <w:p w:rsidR="00620CF7" w:rsidRPr="00562981" w:rsidRDefault="00796DAF" w:rsidP="00380F73">
            <w:pPr>
              <w:jc w:val="center"/>
            </w:pPr>
            <w:r>
              <w:t>1 (33.3%)</w:t>
            </w:r>
          </w:p>
        </w:tc>
        <w:tc>
          <w:tcPr>
            <w:tcW w:w="2416" w:type="dxa"/>
          </w:tcPr>
          <w:p w:rsidR="00620CF7" w:rsidRPr="00562981" w:rsidRDefault="00796DAF" w:rsidP="00380F73">
            <w:pPr>
              <w:jc w:val="center"/>
            </w:pPr>
            <w:r>
              <w:t>1 (17%)</w:t>
            </w:r>
          </w:p>
        </w:tc>
      </w:tr>
      <w:tr w:rsidR="00620CF7" w:rsidTr="00380F73">
        <w:tc>
          <w:tcPr>
            <w:tcW w:w="2122" w:type="dxa"/>
          </w:tcPr>
          <w:p w:rsidR="00620CF7" w:rsidRDefault="00620CF7" w:rsidP="00380F73">
            <w:pPr>
              <w:rPr>
                <w:b/>
              </w:rPr>
            </w:pPr>
            <w:r>
              <w:rPr>
                <w:b/>
              </w:rPr>
              <w:t>Not upheld</w:t>
            </w:r>
          </w:p>
        </w:tc>
        <w:tc>
          <w:tcPr>
            <w:tcW w:w="2265" w:type="dxa"/>
          </w:tcPr>
          <w:p w:rsidR="00620CF7" w:rsidRPr="00562981" w:rsidRDefault="00796DAF" w:rsidP="00380F73">
            <w:pPr>
              <w:jc w:val="center"/>
            </w:pPr>
            <w:r>
              <w:t>4 (10%)</w:t>
            </w:r>
          </w:p>
        </w:tc>
        <w:tc>
          <w:tcPr>
            <w:tcW w:w="2265" w:type="dxa"/>
          </w:tcPr>
          <w:p w:rsidR="00620CF7" w:rsidRPr="00562981" w:rsidRDefault="00796DAF" w:rsidP="00380F73">
            <w:pPr>
              <w:jc w:val="center"/>
            </w:pPr>
            <w:r>
              <w:t>1 (33.3%)</w:t>
            </w:r>
          </w:p>
        </w:tc>
        <w:tc>
          <w:tcPr>
            <w:tcW w:w="2416" w:type="dxa"/>
          </w:tcPr>
          <w:p w:rsidR="00620CF7" w:rsidRPr="00562981" w:rsidRDefault="00796DAF" w:rsidP="00380F73">
            <w:pPr>
              <w:jc w:val="center"/>
            </w:pPr>
            <w:r>
              <w:t>5 (83%)</w:t>
            </w:r>
          </w:p>
        </w:tc>
      </w:tr>
      <w:tr w:rsidR="00620CF7" w:rsidTr="00380F73">
        <w:tc>
          <w:tcPr>
            <w:tcW w:w="2122" w:type="dxa"/>
          </w:tcPr>
          <w:p w:rsidR="00620CF7" w:rsidRDefault="00620CF7" w:rsidP="00380F73">
            <w:pPr>
              <w:rPr>
                <w:b/>
              </w:rPr>
            </w:pPr>
            <w:r>
              <w:rPr>
                <w:b/>
              </w:rPr>
              <w:t>Resolved</w:t>
            </w:r>
          </w:p>
        </w:tc>
        <w:tc>
          <w:tcPr>
            <w:tcW w:w="2265" w:type="dxa"/>
          </w:tcPr>
          <w:p w:rsidR="00620CF7" w:rsidRPr="00562981" w:rsidRDefault="00796DAF" w:rsidP="00380F73">
            <w:pPr>
              <w:jc w:val="center"/>
            </w:pPr>
            <w:r>
              <w:t>13 (30%)</w:t>
            </w:r>
          </w:p>
        </w:tc>
        <w:tc>
          <w:tcPr>
            <w:tcW w:w="2265" w:type="dxa"/>
          </w:tcPr>
          <w:p w:rsidR="00620CF7" w:rsidRPr="00562981" w:rsidRDefault="00796DAF" w:rsidP="00380F73">
            <w:pPr>
              <w:jc w:val="center"/>
            </w:pPr>
            <w:r>
              <w:t>1 (33.3%)</w:t>
            </w:r>
          </w:p>
        </w:tc>
        <w:tc>
          <w:tcPr>
            <w:tcW w:w="2416" w:type="dxa"/>
          </w:tcPr>
          <w:p w:rsidR="00620CF7" w:rsidRPr="00562981" w:rsidRDefault="00796DAF" w:rsidP="00380F73">
            <w:pPr>
              <w:jc w:val="center"/>
            </w:pPr>
            <w:r>
              <w:t>0</w:t>
            </w:r>
          </w:p>
        </w:tc>
      </w:tr>
    </w:tbl>
    <w:p w:rsidR="0086454C" w:rsidRPr="008B62A6" w:rsidRDefault="0086454C" w:rsidP="0086454C">
      <w:pPr>
        <w:rPr>
          <w:b/>
        </w:rPr>
      </w:pPr>
      <w:r>
        <w:rPr>
          <w:b/>
        </w:rPr>
        <w:br w:type="page"/>
      </w:r>
    </w:p>
    <w:p w:rsidR="0086454C" w:rsidRDefault="0086454C" w:rsidP="0086454C"/>
    <w:p w:rsidR="004E3F36" w:rsidRDefault="004E3F36" w:rsidP="004E3F36"/>
    <w:p w:rsidR="004068C3" w:rsidRPr="00C6352A" w:rsidRDefault="004068C3" w:rsidP="004068C3">
      <w:pPr>
        <w:pStyle w:val="Heading1"/>
        <w:rPr>
          <w:rFonts w:eastAsia="Calibri" w:cs="Times New Roman"/>
          <w:color w:val="FF0000"/>
          <w:sz w:val="22"/>
          <w:szCs w:val="22"/>
        </w:rPr>
      </w:pPr>
      <w:bookmarkStart w:id="4" w:name="_Toc149811898"/>
      <w:r w:rsidRPr="00E20335">
        <w:t>Learning from Complaints (LFC)</w:t>
      </w:r>
      <w:bookmarkEnd w:id="4"/>
      <w:r>
        <w:t xml:space="preserve">    </w:t>
      </w:r>
    </w:p>
    <w:p w:rsidR="004068C3" w:rsidRPr="00E20335" w:rsidRDefault="004068C3" w:rsidP="004068C3"/>
    <w:p w:rsidR="004068C3" w:rsidRDefault="004068C3" w:rsidP="004068C3">
      <w:r w:rsidRPr="000959B8">
        <w:t>During the first quarter of session 2</w:t>
      </w:r>
      <w:r w:rsidR="00133678" w:rsidRPr="000959B8">
        <w:t>3/24</w:t>
      </w:r>
      <w:r w:rsidRPr="000959B8">
        <w:t xml:space="preserve"> by completing an LFC we have helped improve services and delivery, some of the actions taken in response to complaints were</w:t>
      </w:r>
      <w:r w:rsidR="005001E3">
        <w:t>:</w:t>
      </w:r>
    </w:p>
    <w:p w:rsidR="005001E3" w:rsidRDefault="005001E3" w:rsidP="004068C3"/>
    <w:p w:rsidR="005001E3" w:rsidRDefault="005001E3" w:rsidP="005001E3">
      <w:pPr>
        <w:pStyle w:val="ListParagraph"/>
        <w:numPr>
          <w:ilvl w:val="0"/>
          <w:numId w:val="5"/>
        </w:numPr>
      </w:pPr>
      <w:r>
        <w:t>Kindness to neighbours’ posters circulated around campus and externally on fences around the houses that had complained about rubbish being thrown into their garden.</w:t>
      </w:r>
    </w:p>
    <w:p w:rsidR="005001E3" w:rsidRPr="000959B8" w:rsidRDefault="005001E3" w:rsidP="00C513EF">
      <w:pPr>
        <w:ind w:left="360"/>
      </w:pPr>
    </w:p>
    <w:p w:rsidR="004068C3" w:rsidRDefault="004068C3" w:rsidP="00C513EF"/>
    <w:p w:rsidR="004068C3" w:rsidRPr="00620CF7" w:rsidRDefault="004068C3" w:rsidP="004068C3">
      <w:pPr>
        <w:rPr>
          <w:b/>
          <w:sz w:val="32"/>
          <w:szCs w:val="32"/>
          <w:u w:val="single"/>
        </w:rPr>
      </w:pPr>
      <w:r w:rsidRPr="00620CF7">
        <w:rPr>
          <w:b/>
          <w:sz w:val="32"/>
          <w:szCs w:val="32"/>
          <w:u w:val="single"/>
        </w:rPr>
        <w:t>Case Study</w:t>
      </w:r>
    </w:p>
    <w:p w:rsidR="004068C3" w:rsidRDefault="004068C3" w:rsidP="004068C3"/>
    <w:p w:rsidR="004068C3" w:rsidRDefault="004068C3" w:rsidP="004068C3">
      <w:r w:rsidRPr="004B7441">
        <w:rPr>
          <w:b/>
        </w:rPr>
        <w:t>Complaint</w:t>
      </w:r>
      <w:r>
        <w:t xml:space="preserve">:  </w:t>
      </w:r>
      <w:r w:rsidR="005001E3">
        <w:t>Student complained that their tutor was late and left the class unattended on separate occasions</w:t>
      </w:r>
      <w:r w:rsidR="008634CD">
        <w:t>.</w:t>
      </w:r>
      <w:bookmarkStart w:id="5" w:name="_GoBack"/>
      <w:bookmarkEnd w:id="5"/>
    </w:p>
    <w:p w:rsidR="004068C3" w:rsidRDefault="004068C3" w:rsidP="004068C3"/>
    <w:p w:rsidR="004068C3" w:rsidRDefault="004068C3" w:rsidP="004068C3">
      <w:r w:rsidRPr="004B7441">
        <w:rPr>
          <w:b/>
        </w:rPr>
        <w:t>What went wrong?</w:t>
      </w:r>
      <w:r>
        <w:t xml:space="preserve">  </w:t>
      </w:r>
      <w:r w:rsidR="005001E3">
        <w:t xml:space="preserve">Staff member was under a lot of stress and </w:t>
      </w:r>
      <w:r w:rsidR="00C513EF">
        <w:t>did not handle the situation in the correct manner.</w:t>
      </w:r>
    </w:p>
    <w:p w:rsidR="004068C3" w:rsidRDefault="004068C3" w:rsidP="004068C3"/>
    <w:p w:rsidR="004068C3" w:rsidRDefault="004068C3" w:rsidP="004068C3">
      <w:r w:rsidRPr="004B7441">
        <w:rPr>
          <w:b/>
        </w:rPr>
        <w:t>Actions implemented</w:t>
      </w:r>
      <w:r>
        <w:t xml:space="preserve">:   </w:t>
      </w:r>
      <w:r w:rsidR="005001E3">
        <w:t>HOS spoke with student and staff member to obtain more information.  Student was provided reassurance from HOS that this would not happen again and also explained the extenuating circumstances surrounding this. Member of staff advised this could not happen again and was offered support if required.</w:t>
      </w:r>
    </w:p>
    <w:p w:rsidR="004E3F36" w:rsidRDefault="004E3F36"/>
    <w:p w:rsidR="00C6352A" w:rsidRDefault="00C6352A"/>
    <w:p w:rsidR="00620CF7" w:rsidRDefault="00620CF7" w:rsidP="00620CF7">
      <w:pPr>
        <w:pStyle w:val="Heading1"/>
      </w:pPr>
      <w:bookmarkStart w:id="6" w:name="_Toc134097016"/>
      <w:bookmarkStart w:id="7" w:name="_Toc113361091"/>
      <w:bookmarkStart w:id="8" w:name="_Toc149811899"/>
      <w:r>
        <w:t>Customer satisfaction with the complaints process</w:t>
      </w:r>
      <w:bookmarkEnd w:id="6"/>
      <w:bookmarkEnd w:id="7"/>
      <w:bookmarkEnd w:id="8"/>
    </w:p>
    <w:p w:rsidR="00620CF7" w:rsidRDefault="00620CF7">
      <w:pPr>
        <w:rPr>
          <w:color w:val="FF0000"/>
        </w:rPr>
      </w:pPr>
    </w:p>
    <w:p w:rsidR="000959B8" w:rsidRDefault="000959B8" w:rsidP="000959B8">
      <w:r w:rsidRPr="008E078C">
        <w:t xml:space="preserve">Only </w:t>
      </w:r>
      <w:r>
        <w:t>7</w:t>
      </w:r>
      <w:r w:rsidRPr="008E078C">
        <w:t xml:space="preserve"> surveys were completed in the first qua</w:t>
      </w:r>
      <w:r>
        <w:t>r</w:t>
      </w:r>
      <w:r w:rsidRPr="008E078C">
        <w:t>ter</w:t>
      </w:r>
      <w:r>
        <w:t>.</w:t>
      </w:r>
    </w:p>
    <w:p w:rsidR="000959B8" w:rsidRPr="008E078C" w:rsidRDefault="000959B8" w:rsidP="000959B8"/>
    <w:p w:rsidR="000959B8" w:rsidRDefault="000959B8" w:rsidP="000959B8">
      <w:r w:rsidRPr="008E078C">
        <w:t xml:space="preserve">From the </w:t>
      </w:r>
      <w:r>
        <w:t>response dates, most of them were in completed around the strike action time so there was a lot of negative feedback.  1 overall positive outcome and feedback with regards to a non-strike complaint.</w:t>
      </w:r>
    </w:p>
    <w:p w:rsidR="00620CF7" w:rsidRDefault="00620CF7">
      <w:pPr>
        <w:rPr>
          <w:color w:val="FF0000"/>
        </w:rPr>
      </w:pPr>
    </w:p>
    <w:p w:rsidR="00620CF7" w:rsidRDefault="00620CF7">
      <w:pPr>
        <w:rPr>
          <w:color w:val="FF0000"/>
        </w:rPr>
      </w:pPr>
    </w:p>
    <w:p w:rsidR="00620CF7" w:rsidRDefault="00620CF7" w:rsidP="00620CF7">
      <w:pPr>
        <w:pStyle w:val="Heading1"/>
      </w:pPr>
      <w:bookmarkStart w:id="9" w:name="_Toc134097017"/>
      <w:bookmarkStart w:id="10" w:name="_Toc149811900"/>
      <w:r>
        <w:t>Compliments</w:t>
      </w:r>
      <w:bookmarkEnd w:id="9"/>
      <w:bookmarkEnd w:id="10"/>
    </w:p>
    <w:p w:rsidR="00620CF7" w:rsidRDefault="00620CF7">
      <w:pPr>
        <w:rPr>
          <w:color w:val="FF0000"/>
        </w:rPr>
      </w:pPr>
    </w:p>
    <w:p w:rsidR="00620CF7" w:rsidRPr="005E05D4" w:rsidRDefault="002173BD">
      <w:pPr>
        <w:rPr>
          <w:color w:val="323E4F" w:themeColor="text2" w:themeShade="BF"/>
        </w:rPr>
      </w:pPr>
      <w:r w:rsidRPr="005E05D4">
        <w:rPr>
          <w:color w:val="323E4F" w:themeColor="text2" w:themeShade="BF"/>
        </w:rPr>
        <w:t>No compliments received in this quarter</w:t>
      </w:r>
      <w:r w:rsidR="005E05D4">
        <w:rPr>
          <w:color w:val="323E4F" w:themeColor="text2" w:themeShade="BF"/>
        </w:rPr>
        <w:t>.</w:t>
      </w:r>
    </w:p>
    <w:sectPr w:rsidR="00620CF7" w:rsidRPr="005E05D4" w:rsidSect="00156C3A">
      <w:footerReference w:type="default" r:id="rId11"/>
      <w:pgSz w:w="11906" w:h="16838" w:code="9"/>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048" w:rsidRDefault="001E2048" w:rsidP="00156C3A">
      <w:r>
        <w:separator/>
      </w:r>
    </w:p>
  </w:endnote>
  <w:endnote w:type="continuationSeparator" w:id="0">
    <w:p w:rsidR="001E2048" w:rsidRDefault="001E2048" w:rsidP="0015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87A" w:rsidRPr="0018587A" w:rsidRDefault="0018587A" w:rsidP="0018587A">
    <w:pPr>
      <w:pStyle w:val="Footer"/>
      <w:pBdr>
        <w:bottom w:val="thinThickMediumGap" w:sz="24" w:space="1" w:color="44546A" w:themeColor="text2"/>
      </w:pBdr>
      <w:rPr>
        <w:sz w:val="12"/>
        <w:szCs w:val="12"/>
      </w:rPr>
    </w:pPr>
  </w:p>
  <w:p w:rsidR="0018587A" w:rsidRPr="0018587A" w:rsidRDefault="0018587A">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CF9" w:rsidRPr="0018587A" w:rsidRDefault="00F15CF9" w:rsidP="0018587A">
    <w:pPr>
      <w:pStyle w:val="Footer"/>
      <w:pBdr>
        <w:bottom w:val="thinThickMediumGap" w:sz="24" w:space="1" w:color="44546A" w:themeColor="text2"/>
      </w:pBdr>
      <w:rPr>
        <w:sz w:val="12"/>
        <w:szCs w:val="12"/>
      </w:rPr>
    </w:pPr>
  </w:p>
  <w:p w:rsidR="00F15CF9" w:rsidRPr="0018587A" w:rsidRDefault="00F15CF9">
    <w:pPr>
      <w:pStyle w:val="Footer"/>
      <w:rPr>
        <w:sz w:val="12"/>
        <w:szCs w:val="12"/>
      </w:rPr>
    </w:pPr>
  </w:p>
  <w:p w:rsidR="00F15CF9" w:rsidRDefault="00F15CF9">
    <w:pPr>
      <w:pStyle w:val="Footer"/>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048" w:rsidRDefault="001E2048" w:rsidP="00156C3A">
      <w:r>
        <w:separator/>
      </w:r>
    </w:p>
  </w:footnote>
  <w:footnote w:type="continuationSeparator" w:id="0">
    <w:p w:rsidR="001E2048" w:rsidRDefault="001E2048" w:rsidP="0015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C3A" w:rsidRDefault="0018587A" w:rsidP="00E665AB">
    <w:pPr>
      <w:spacing w:after="80"/>
    </w:pPr>
    <w:r>
      <w:t>Complaints Handling</w:t>
    </w:r>
    <w:r w:rsidR="00E6655A">
      <w:t xml:space="preserve"> First Quarter Report August – October 202</w:t>
    </w:r>
    <w:r w:rsidR="00620CF7">
      <w:t>3</w:t>
    </w:r>
  </w:p>
  <w:p w:rsidR="0018587A" w:rsidRPr="0018587A" w:rsidRDefault="0018587A" w:rsidP="0018587A">
    <w:pPr>
      <w:pBdr>
        <w:top w:val="thickThinMediumGap" w:sz="24" w:space="1" w:color="44546A" w:themeColor="text2"/>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2694A"/>
    <w:multiLevelType w:val="hybridMultilevel"/>
    <w:tmpl w:val="0482704E"/>
    <w:lvl w:ilvl="0" w:tplc="AD56483E">
      <w:start w:val="1"/>
      <w:numFmt w:val="decimal"/>
      <w:lvlText w:val="%1."/>
      <w:lvlJc w:val="left"/>
      <w:pPr>
        <w:ind w:left="360" w:hanging="360"/>
      </w:pPr>
      <w:rPr>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E44DA9"/>
    <w:multiLevelType w:val="hybridMultilevel"/>
    <w:tmpl w:val="1536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A1C86"/>
    <w:multiLevelType w:val="hybridMultilevel"/>
    <w:tmpl w:val="E9C2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B0BE5"/>
    <w:multiLevelType w:val="hybridMultilevel"/>
    <w:tmpl w:val="194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4C"/>
    <w:rsid w:val="00043A4E"/>
    <w:rsid w:val="000922F7"/>
    <w:rsid w:val="000959B8"/>
    <w:rsid w:val="0011127B"/>
    <w:rsid w:val="00133641"/>
    <w:rsid w:val="00133678"/>
    <w:rsid w:val="00156C3A"/>
    <w:rsid w:val="0018587A"/>
    <w:rsid w:val="001B0371"/>
    <w:rsid w:val="001E2048"/>
    <w:rsid w:val="001E301C"/>
    <w:rsid w:val="002173BD"/>
    <w:rsid w:val="00253E2B"/>
    <w:rsid w:val="002A29DE"/>
    <w:rsid w:val="002D087A"/>
    <w:rsid w:val="002F0137"/>
    <w:rsid w:val="00382EF5"/>
    <w:rsid w:val="003852E1"/>
    <w:rsid w:val="003A12D9"/>
    <w:rsid w:val="003C2605"/>
    <w:rsid w:val="003D789D"/>
    <w:rsid w:val="003F5CA1"/>
    <w:rsid w:val="004068C3"/>
    <w:rsid w:val="004749B9"/>
    <w:rsid w:val="00492F99"/>
    <w:rsid w:val="004E3F36"/>
    <w:rsid w:val="005001E3"/>
    <w:rsid w:val="005120E0"/>
    <w:rsid w:val="00557C0C"/>
    <w:rsid w:val="00562981"/>
    <w:rsid w:val="0057009D"/>
    <w:rsid w:val="005A6263"/>
    <w:rsid w:val="005C4E07"/>
    <w:rsid w:val="005E05D4"/>
    <w:rsid w:val="005F6A68"/>
    <w:rsid w:val="00620CF7"/>
    <w:rsid w:val="00621F9B"/>
    <w:rsid w:val="00664E8D"/>
    <w:rsid w:val="00763815"/>
    <w:rsid w:val="007667C8"/>
    <w:rsid w:val="00796DAF"/>
    <w:rsid w:val="007A3229"/>
    <w:rsid w:val="007D37EF"/>
    <w:rsid w:val="00840513"/>
    <w:rsid w:val="008634CD"/>
    <w:rsid w:val="0086454C"/>
    <w:rsid w:val="008B62A6"/>
    <w:rsid w:val="00902C06"/>
    <w:rsid w:val="00987E65"/>
    <w:rsid w:val="009C0887"/>
    <w:rsid w:val="009C26B0"/>
    <w:rsid w:val="00A57941"/>
    <w:rsid w:val="00A739F2"/>
    <w:rsid w:val="00A805E5"/>
    <w:rsid w:val="00AB041B"/>
    <w:rsid w:val="00AF56A0"/>
    <w:rsid w:val="00BE3D45"/>
    <w:rsid w:val="00C00B9F"/>
    <w:rsid w:val="00C240BA"/>
    <w:rsid w:val="00C32363"/>
    <w:rsid w:val="00C513EF"/>
    <w:rsid w:val="00C6352A"/>
    <w:rsid w:val="00D1453E"/>
    <w:rsid w:val="00D85CFB"/>
    <w:rsid w:val="00DB2E1A"/>
    <w:rsid w:val="00E40BDA"/>
    <w:rsid w:val="00E6655A"/>
    <w:rsid w:val="00E665AB"/>
    <w:rsid w:val="00E7327F"/>
    <w:rsid w:val="00E80893"/>
    <w:rsid w:val="00E932A1"/>
    <w:rsid w:val="00F15CF9"/>
    <w:rsid w:val="00F4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5669C0"/>
  <w15:chartTrackingRefBased/>
  <w15:docId w15:val="{519AA0D1-6FA9-454E-B647-F01CBB05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605"/>
    <w:pPr>
      <w:spacing w:after="0" w:line="240" w:lineRule="auto"/>
    </w:pPr>
    <w:rPr>
      <w:rFonts w:ascii="Arial" w:hAnsi="Arial"/>
      <w:color w:val="44546A" w:themeColor="text2"/>
    </w:rPr>
  </w:style>
  <w:style w:type="paragraph" w:styleId="Heading1">
    <w:name w:val="heading 1"/>
    <w:basedOn w:val="Normal"/>
    <w:next w:val="Normal"/>
    <w:link w:val="Heading1Char"/>
    <w:uiPriority w:val="9"/>
    <w:qFormat/>
    <w:rsid w:val="00E665AB"/>
    <w:pPr>
      <w:keepNext/>
      <w:keepLines/>
      <w:outlineLvl w:val="0"/>
    </w:pPr>
    <w:rPr>
      <w:rFonts w:eastAsiaTheme="majorEastAsia" w:cstheme="majorBidi"/>
      <w:b/>
      <w:color w:val="95314E"/>
      <w:sz w:val="32"/>
      <w:szCs w:val="32"/>
    </w:rPr>
  </w:style>
  <w:style w:type="paragraph" w:styleId="Heading2">
    <w:name w:val="heading 2"/>
    <w:basedOn w:val="Normal"/>
    <w:next w:val="Normal"/>
    <w:link w:val="Heading2Char"/>
    <w:qFormat/>
    <w:rsid w:val="00E665AB"/>
    <w:pPr>
      <w:keepNext/>
      <w:outlineLvl w:val="1"/>
    </w:pPr>
    <w:rPr>
      <w:rFonts w:eastAsia="Times New Roman" w:cs="Times New Roman"/>
      <w:b/>
      <w:color w:val="2F5496" w:themeColor="accent1" w:themeShade="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5AB"/>
    <w:rPr>
      <w:rFonts w:ascii="Arial" w:eastAsia="Times New Roman" w:hAnsi="Arial" w:cs="Times New Roman"/>
      <w:b/>
      <w:color w:val="2F5496" w:themeColor="accent1" w:themeShade="BF"/>
      <w:sz w:val="28"/>
      <w:szCs w:val="20"/>
    </w:rPr>
  </w:style>
  <w:style w:type="paragraph" w:styleId="Header">
    <w:name w:val="header"/>
    <w:basedOn w:val="Normal"/>
    <w:link w:val="HeaderChar"/>
    <w:uiPriority w:val="99"/>
    <w:unhideWhenUsed/>
    <w:rsid w:val="00156C3A"/>
    <w:pPr>
      <w:tabs>
        <w:tab w:val="center" w:pos="4513"/>
        <w:tab w:val="right" w:pos="9026"/>
      </w:tabs>
    </w:pPr>
  </w:style>
  <w:style w:type="character" w:customStyle="1" w:styleId="HeaderChar">
    <w:name w:val="Header Char"/>
    <w:basedOn w:val="DefaultParagraphFont"/>
    <w:link w:val="Header"/>
    <w:uiPriority w:val="99"/>
    <w:rsid w:val="00156C3A"/>
  </w:style>
  <w:style w:type="paragraph" w:styleId="Footer">
    <w:name w:val="footer"/>
    <w:basedOn w:val="Normal"/>
    <w:link w:val="FooterChar"/>
    <w:uiPriority w:val="99"/>
    <w:unhideWhenUsed/>
    <w:rsid w:val="00156C3A"/>
    <w:pPr>
      <w:tabs>
        <w:tab w:val="center" w:pos="4513"/>
        <w:tab w:val="right" w:pos="9026"/>
      </w:tabs>
    </w:pPr>
  </w:style>
  <w:style w:type="character" w:customStyle="1" w:styleId="FooterChar">
    <w:name w:val="Footer Char"/>
    <w:basedOn w:val="DefaultParagraphFont"/>
    <w:link w:val="Footer"/>
    <w:uiPriority w:val="99"/>
    <w:rsid w:val="00156C3A"/>
  </w:style>
  <w:style w:type="character" w:customStyle="1" w:styleId="Heading1Char">
    <w:name w:val="Heading 1 Char"/>
    <w:basedOn w:val="DefaultParagraphFont"/>
    <w:link w:val="Heading1"/>
    <w:uiPriority w:val="9"/>
    <w:rsid w:val="00E665AB"/>
    <w:rPr>
      <w:rFonts w:ascii="Arial" w:eastAsiaTheme="majorEastAsia" w:hAnsi="Arial" w:cstheme="majorBidi"/>
      <w:b/>
      <w:color w:val="95314E"/>
      <w:sz w:val="32"/>
      <w:szCs w:val="32"/>
    </w:rPr>
  </w:style>
  <w:style w:type="paragraph" w:styleId="Title">
    <w:name w:val="Title"/>
    <w:basedOn w:val="Normal"/>
    <w:next w:val="Normal"/>
    <w:link w:val="TitleChar"/>
    <w:uiPriority w:val="10"/>
    <w:qFormat/>
    <w:rsid w:val="001858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87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1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5CF9"/>
    <w:pPr>
      <w:outlineLvl w:val="9"/>
    </w:pPr>
    <w:rPr>
      <w:rFonts w:asciiTheme="majorHAnsi" w:hAnsiTheme="majorHAnsi"/>
      <w:b w:val="0"/>
      <w:color w:val="2F5496" w:themeColor="accent1" w:themeShade="BF"/>
      <w:lang w:val="en-US"/>
    </w:rPr>
  </w:style>
  <w:style w:type="paragraph" w:styleId="TOC2">
    <w:name w:val="toc 2"/>
    <w:basedOn w:val="Normal"/>
    <w:next w:val="Normal"/>
    <w:autoRedefine/>
    <w:uiPriority w:val="39"/>
    <w:unhideWhenUsed/>
    <w:rsid w:val="003C2605"/>
    <w:pPr>
      <w:ind w:left="221"/>
    </w:pPr>
    <w:rPr>
      <w:rFonts w:eastAsiaTheme="minorEastAsia" w:cs="Times New Roman"/>
      <w:color w:val="2F5496" w:themeColor="accent1" w:themeShade="BF"/>
      <w:lang w:val="en-US"/>
    </w:rPr>
  </w:style>
  <w:style w:type="paragraph" w:styleId="TOC1">
    <w:name w:val="toc 1"/>
    <w:basedOn w:val="Normal"/>
    <w:next w:val="Normal"/>
    <w:autoRedefine/>
    <w:uiPriority w:val="39"/>
    <w:unhideWhenUsed/>
    <w:rsid w:val="003C2605"/>
    <w:rPr>
      <w:rFonts w:eastAsiaTheme="minorEastAsia" w:cs="Times New Roman"/>
      <w:color w:val="2F5496" w:themeColor="accent1" w:themeShade="BF"/>
      <w:lang w:val="en-US"/>
    </w:rPr>
  </w:style>
  <w:style w:type="paragraph" w:styleId="TOC3">
    <w:name w:val="toc 3"/>
    <w:basedOn w:val="Normal"/>
    <w:next w:val="Normal"/>
    <w:autoRedefine/>
    <w:uiPriority w:val="39"/>
    <w:unhideWhenUsed/>
    <w:rsid w:val="003C2605"/>
    <w:pPr>
      <w:spacing w:after="100"/>
    </w:pPr>
    <w:rPr>
      <w:rFonts w:asciiTheme="minorHAnsi" w:eastAsiaTheme="minorEastAsia" w:hAnsiTheme="minorHAnsi" w:cs="Times New Roman"/>
      <w:color w:val="auto"/>
      <w:lang w:val="en-US"/>
    </w:rPr>
  </w:style>
  <w:style w:type="character" w:styleId="Hyperlink">
    <w:name w:val="Hyperlink"/>
    <w:basedOn w:val="DefaultParagraphFont"/>
    <w:uiPriority w:val="99"/>
    <w:unhideWhenUsed/>
    <w:rsid w:val="003C2605"/>
    <w:rPr>
      <w:color w:val="0563C1" w:themeColor="hyperlink"/>
      <w:u w:val="single"/>
    </w:rPr>
  </w:style>
  <w:style w:type="paragraph" w:styleId="ListParagraph">
    <w:name w:val="List Paragraph"/>
    <w:basedOn w:val="Normal"/>
    <w:uiPriority w:val="34"/>
    <w:qFormat/>
    <w:rsid w:val="0086454C"/>
    <w:pPr>
      <w:numPr>
        <w:numId w:val="1"/>
      </w:numPr>
      <w:suppressAutoHyphens/>
      <w:spacing w:after="200" w:line="276" w:lineRule="atLeast"/>
    </w:pPr>
    <w:rPr>
      <w:rFonts w:eastAsia="Times New Roman" w:cs="Arial"/>
      <w:szCs w:val="20"/>
      <w:lang w:eastAsia="zh-CN"/>
    </w:rPr>
  </w:style>
  <w:style w:type="paragraph" w:customStyle="1" w:styleId="CharCharCharCharCharChar">
    <w:name w:val="Char Char Char Char Char Char"/>
    <w:basedOn w:val="Normal"/>
    <w:rsid w:val="00D85CFB"/>
    <w:pPr>
      <w:spacing w:after="160" w:line="240" w:lineRule="exact"/>
    </w:pPr>
    <w:rPr>
      <w:rFonts w:ascii="Verdana" w:eastAsia="Times New Roman" w:hAnsi="Verdana" w:cs="Times New Roman"/>
      <w:color w:val="auto"/>
      <w:sz w:val="20"/>
      <w:szCs w:val="20"/>
      <w:lang w:val="en-US"/>
    </w:rPr>
  </w:style>
  <w:style w:type="paragraph" w:customStyle="1" w:styleId="Default">
    <w:name w:val="Default"/>
    <w:rsid w:val="002A29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2214">
      <w:bodyDiv w:val="1"/>
      <w:marLeft w:val="0"/>
      <w:marRight w:val="0"/>
      <w:marTop w:val="0"/>
      <w:marBottom w:val="0"/>
      <w:divBdr>
        <w:top w:val="none" w:sz="0" w:space="0" w:color="auto"/>
        <w:left w:val="none" w:sz="0" w:space="0" w:color="auto"/>
        <w:bottom w:val="none" w:sz="0" w:space="0" w:color="auto"/>
        <w:right w:val="none" w:sz="0" w:space="0" w:color="auto"/>
      </w:divBdr>
    </w:div>
    <w:div w:id="334458217">
      <w:bodyDiv w:val="1"/>
      <w:marLeft w:val="0"/>
      <w:marRight w:val="0"/>
      <w:marTop w:val="0"/>
      <w:marBottom w:val="0"/>
      <w:divBdr>
        <w:top w:val="none" w:sz="0" w:space="0" w:color="auto"/>
        <w:left w:val="none" w:sz="0" w:space="0" w:color="auto"/>
        <w:bottom w:val="none" w:sz="0" w:space="0" w:color="auto"/>
        <w:right w:val="none" w:sz="0" w:space="0" w:color="auto"/>
      </w:divBdr>
    </w:div>
    <w:div w:id="6685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fulton-dick.INT\AppData\Local\Microsoft\Windows\INetCache\Content.Outlook\X9LWC6A8\Complaints%20Handling%20Yearl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323C-446C-4292-BD43-E46A8B99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Complaints Handling Yearly Report</Template>
  <TotalTime>0</TotalTime>
  <Pages>4</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Complaints Handling Yearly Report 2021-22</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Handling Yearly Report 2021-22</dc:title>
  <dc:subject/>
  <dc:creator>Claire Fulton-Dick</dc:creator>
  <cp:keywords/>
  <dc:description/>
  <cp:lastModifiedBy>Claire Fulton-Dick</cp:lastModifiedBy>
  <cp:revision>2</cp:revision>
  <dcterms:created xsi:type="dcterms:W3CDTF">2023-11-02T14:01:00Z</dcterms:created>
  <dcterms:modified xsi:type="dcterms:W3CDTF">2023-11-02T14:01:00Z</dcterms:modified>
</cp:coreProperties>
</file>