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6680D2B7">
            <wp:simplePos x="0" y="0"/>
            <wp:positionH relativeFrom="margin">
              <wp:posOffset>75645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507C1E" w:rsidRDefault="0044724F" w:rsidP="00F72963">
      <w:pPr>
        <w:spacing w:after="0"/>
        <w:rPr>
          <w:rFonts w:ascii="Lato" w:hAnsi="Lato"/>
        </w:rPr>
      </w:pPr>
    </w:p>
    <w:p w14:paraId="39CA6B33" w14:textId="77777777" w:rsidR="00590127" w:rsidRPr="00507C1E" w:rsidRDefault="00590127" w:rsidP="00F72963">
      <w:pPr>
        <w:spacing w:after="0"/>
        <w:rPr>
          <w:rFonts w:ascii="Lato" w:hAnsi="Lato"/>
        </w:rPr>
      </w:pPr>
    </w:p>
    <w:p w14:paraId="39CA6B34" w14:textId="0CCEF474" w:rsidR="0044724F" w:rsidRPr="00507C1E" w:rsidRDefault="0044724F" w:rsidP="00F72963">
      <w:pPr>
        <w:spacing w:after="0"/>
        <w:rPr>
          <w:rFonts w:ascii="Lato" w:hAnsi="Lato"/>
        </w:rPr>
      </w:pPr>
      <w:r w:rsidRPr="00507C1E">
        <w:rPr>
          <w:rFonts w:ascii="Lato" w:hAnsi="Lato"/>
        </w:rPr>
        <w:t xml:space="preserve">Please refer to the </w:t>
      </w:r>
      <w:r w:rsidR="0061726E" w:rsidRPr="00507C1E">
        <w:rPr>
          <w:rFonts w:ascii="Lato" w:hAnsi="Lato"/>
        </w:rPr>
        <w:t xml:space="preserve">notes and examples in the </w:t>
      </w:r>
      <w:r w:rsidRPr="00507C1E">
        <w:rPr>
          <w:rFonts w:ascii="Lato" w:hAnsi="Lato"/>
        </w:rPr>
        <w:t xml:space="preserve">EIA Guidelines </w:t>
      </w:r>
      <w:r w:rsidR="00236EF7" w:rsidRPr="00507C1E">
        <w:rPr>
          <w:rFonts w:ascii="Lato" w:hAnsi="Lato"/>
        </w:rPr>
        <w:t>to help</w:t>
      </w:r>
      <w:r w:rsidRPr="00507C1E">
        <w:rPr>
          <w:rFonts w:ascii="Lato" w:hAnsi="Lato"/>
        </w:rPr>
        <w:t xml:space="preserve"> complete th</w:t>
      </w:r>
      <w:r w:rsidR="001C5461" w:rsidRPr="00507C1E">
        <w:rPr>
          <w:rFonts w:ascii="Lato" w:hAnsi="Lato"/>
        </w:rPr>
        <w:t xml:space="preserve">is </w:t>
      </w:r>
      <w:r w:rsidR="00345E3E" w:rsidRPr="00507C1E">
        <w:rPr>
          <w:rFonts w:ascii="Lato" w:hAnsi="Lato"/>
        </w:rPr>
        <w:t>record</w:t>
      </w:r>
      <w:r w:rsidR="0089137F" w:rsidRPr="00507C1E">
        <w:rPr>
          <w:rFonts w:ascii="Lato" w:hAnsi="Lato"/>
        </w:rPr>
        <w:t>.</w:t>
      </w:r>
    </w:p>
    <w:p w14:paraId="7A84C6F3" w14:textId="77777777" w:rsidR="0089137F" w:rsidRPr="00507C1E" w:rsidRDefault="0089137F" w:rsidP="00F72963">
      <w:pPr>
        <w:spacing w:after="0"/>
        <w:rPr>
          <w:rFonts w:ascii="Lato" w:hAnsi="Lato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55"/>
        <w:gridCol w:w="1240"/>
        <w:gridCol w:w="1243"/>
        <w:gridCol w:w="1898"/>
        <w:gridCol w:w="3524"/>
        <w:gridCol w:w="1596"/>
        <w:gridCol w:w="1412"/>
      </w:tblGrid>
      <w:tr w:rsidR="003F4CB6" w:rsidRPr="00507C1E" w14:paraId="39CA6B3B" w14:textId="77777777" w:rsidTr="00241BE4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Title of Activity/Proposal/Policy/Practice</w:t>
            </w:r>
          </w:p>
        </w:tc>
        <w:tc>
          <w:tcPr>
            <w:tcW w:w="861" w:type="pct"/>
            <w:gridSpan w:val="2"/>
          </w:tcPr>
          <w:p w14:paraId="39CA6B36" w14:textId="795F9591" w:rsidR="00795D1E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Organisational Change Procedure</w:t>
            </w:r>
          </w:p>
        </w:tc>
        <w:tc>
          <w:tcPr>
            <w:tcW w:w="654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EIA Team and Lead Member of Staff (names of all people involved in this EIA)</w:t>
            </w:r>
          </w:p>
        </w:tc>
        <w:tc>
          <w:tcPr>
            <w:tcW w:w="1208" w:type="pct"/>
            <w:vMerge w:val="restart"/>
          </w:tcPr>
          <w:p w14:paraId="071B0BE7" w14:textId="77777777" w:rsidR="00795D1E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Sue Clyne (Director of HR&amp;OD)</w:t>
            </w:r>
          </w:p>
          <w:p w14:paraId="39CA6B38" w14:textId="744FB64B" w:rsidR="00241BE4" w:rsidRPr="00507C1E" w:rsidRDefault="00241BE4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Fumie Nakamura (Projects and Systems Assistant)</w:t>
            </w:r>
          </w:p>
        </w:tc>
        <w:tc>
          <w:tcPr>
            <w:tcW w:w="551" w:type="pct"/>
            <w:vMerge w:val="restart"/>
            <w:shd w:val="clear" w:color="auto" w:fill="FDE9D9" w:themeFill="accent6" w:themeFillTint="33"/>
          </w:tcPr>
          <w:p w14:paraId="39CA6B39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690D5E68" w:rsidR="00795D1E" w:rsidRPr="00507C1E" w:rsidRDefault="00507C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November 2024</w:t>
            </w:r>
          </w:p>
        </w:tc>
      </w:tr>
      <w:tr w:rsidR="003F4CB6" w:rsidRPr="00507C1E" w14:paraId="39CA6B43" w14:textId="77777777" w:rsidTr="00241BE4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 xml:space="preserve">New    </w:t>
            </w:r>
          </w:p>
        </w:tc>
        <w:tc>
          <w:tcPr>
            <w:tcW w:w="431" w:type="pct"/>
            <w:vAlign w:val="center"/>
          </w:tcPr>
          <w:p w14:paraId="39CA6B3E" w14:textId="42896456" w:rsidR="00795D1E" w:rsidRPr="00507C1E" w:rsidRDefault="0047569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X</w:t>
            </w: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40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41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507C1E" w14:paraId="39CA6B4B" w14:textId="77777777" w:rsidTr="00241BE4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Existing</w:t>
            </w:r>
          </w:p>
        </w:tc>
        <w:tc>
          <w:tcPr>
            <w:tcW w:w="431" w:type="pct"/>
            <w:vAlign w:val="center"/>
          </w:tcPr>
          <w:p w14:paraId="39CA6B46" w14:textId="2BDB0924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48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49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507C1E" w14:paraId="39CA6B53" w14:textId="77777777" w:rsidTr="00241BE4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Revised</w:t>
            </w:r>
          </w:p>
        </w:tc>
        <w:tc>
          <w:tcPr>
            <w:tcW w:w="431" w:type="pct"/>
            <w:vAlign w:val="center"/>
          </w:tcPr>
          <w:p w14:paraId="39CA6B4E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208" w:type="pct"/>
            <w:vMerge/>
          </w:tcPr>
          <w:p w14:paraId="39CA6B50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551" w:type="pct"/>
            <w:vMerge/>
          </w:tcPr>
          <w:p w14:paraId="39CA6B51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507C1E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52D2E65" w14:textId="77777777" w:rsidR="00BD1854" w:rsidRPr="00507C1E" w:rsidRDefault="00BD1854" w:rsidP="00F72963">
      <w:pPr>
        <w:spacing w:after="0"/>
        <w:rPr>
          <w:rFonts w:ascii="Lato" w:hAnsi="Lato"/>
          <w:b/>
        </w:rPr>
      </w:pPr>
    </w:p>
    <w:p w14:paraId="1BA63BD0" w14:textId="00ACEDD8" w:rsidR="00BD1854" w:rsidRPr="00507C1E" w:rsidRDefault="00BD1854" w:rsidP="00F72963">
      <w:pPr>
        <w:spacing w:after="0"/>
        <w:rPr>
          <w:rFonts w:ascii="Lato" w:hAnsi="Lato"/>
          <w:b/>
        </w:rPr>
      </w:pPr>
      <w:r w:rsidRPr="00507C1E">
        <w:rPr>
          <w:rFonts w:ascii="Lato" w:hAnsi="Lato"/>
          <w:b/>
        </w:rPr>
        <w:t>Step 1 – Plan your process</w:t>
      </w:r>
    </w:p>
    <w:p w14:paraId="53514951" w14:textId="13567B7B" w:rsidR="00BD1854" w:rsidRPr="00507C1E" w:rsidRDefault="00BD1854" w:rsidP="00F72963">
      <w:pPr>
        <w:spacing w:after="0"/>
        <w:rPr>
          <w:rFonts w:ascii="Lato" w:hAnsi="Lato"/>
        </w:rPr>
      </w:pPr>
      <w:r w:rsidRPr="00507C1E">
        <w:rPr>
          <w:rFonts w:ascii="Lato" w:hAnsi="Lato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8377"/>
      </w:tblGrid>
      <w:tr w:rsidR="00C81A1C" w:rsidRPr="00507C1E" w14:paraId="39CA6B5C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507C1E" w:rsidRDefault="00EF1AAD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</w:rPr>
              <w:t>What are the aims</w:t>
            </w:r>
            <w:r w:rsidR="00C57CA8" w:rsidRPr="00507C1E">
              <w:rPr>
                <w:rFonts w:ascii="Lato" w:hAnsi="Lato"/>
              </w:rPr>
              <w:t xml:space="preserve"> and purposes </w:t>
            </w:r>
            <w:r w:rsidR="00C81A1C" w:rsidRPr="00507C1E">
              <w:rPr>
                <w:rFonts w:ascii="Lato" w:hAnsi="Lato"/>
              </w:rPr>
              <w:t xml:space="preserve">of the </w:t>
            </w:r>
            <w:r w:rsidR="009A7D81" w:rsidRPr="00507C1E">
              <w:rPr>
                <w:rFonts w:ascii="Lato" w:hAnsi="Lato"/>
              </w:rPr>
              <w:t>activity/ decision/ new or revised policy or procedure?</w:t>
            </w:r>
          </w:p>
          <w:p w14:paraId="39CA6B5A" w14:textId="77777777" w:rsidR="00C57CA8" w:rsidRPr="00507C1E" w:rsidRDefault="0008211F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</w:t>
            </w:r>
            <w:r w:rsidR="0061726E" w:rsidRPr="00507C1E">
              <w:rPr>
                <w:rFonts w:ascii="Lato" w:hAnsi="Lato"/>
                <w:sz w:val="20"/>
                <w:szCs w:val="20"/>
              </w:rPr>
              <w:t>ote 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A559" w14:textId="382D45E5" w:rsidR="00241BE4" w:rsidRPr="00507C1E" w:rsidRDefault="00241BE4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pacing w:val="-2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  <w:szCs w:val="22"/>
              </w:rPr>
              <w:t xml:space="preserve">This Procedure aims to assist employees, managers and trade union </w:t>
            </w:r>
            <w:r w:rsidR="00736B39" w:rsidRPr="00507C1E">
              <w:rPr>
                <w:rFonts w:ascii="Lato" w:hAnsi="Lato"/>
                <w:sz w:val="22"/>
                <w:szCs w:val="22"/>
              </w:rPr>
              <w:t>r</w:t>
            </w:r>
            <w:r w:rsidRPr="00507C1E">
              <w:rPr>
                <w:rFonts w:ascii="Lato" w:hAnsi="Lato"/>
                <w:sz w:val="22"/>
                <w:szCs w:val="22"/>
              </w:rPr>
              <w:t xml:space="preserve">epresentatives involved in the development and implementation of </w:t>
            </w:r>
            <w:r w:rsidR="00736B39" w:rsidRPr="00507C1E">
              <w:rPr>
                <w:rFonts w:ascii="Lato" w:hAnsi="Lato"/>
                <w:sz w:val="22"/>
                <w:szCs w:val="22"/>
              </w:rPr>
              <w:t>c</w:t>
            </w:r>
            <w:r w:rsidRPr="00507C1E">
              <w:rPr>
                <w:rFonts w:ascii="Lato" w:hAnsi="Lato"/>
                <w:sz w:val="22"/>
                <w:szCs w:val="22"/>
              </w:rPr>
              <w:t xml:space="preserve">hange at Edinburgh College. It provides a framework for managing change effectively, fairly and consistently through planning, consultation and </w:t>
            </w:r>
            <w:r w:rsidRPr="00507C1E">
              <w:rPr>
                <w:rFonts w:ascii="Lato" w:hAnsi="Lato"/>
                <w:spacing w:val="-2"/>
                <w:sz w:val="22"/>
                <w:szCs w:val="22"/>
              </w:rPr>
              <w:t>communication.</w:t>
            </w:r>
          </w:p>
          <w:p w14:paraId="3539AE4C" w14:textId="2F6BC5A2" w:rsidR="00241BE4" w:rsidRPr="00507C1E" w:rsidRDefault="00241BE4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</w:p>
          <w:p w14:paraId="54899C09" w14:textId="68B23371" w:rsidR="00736B39" w:rsidRPr="00507C1E" w:rsidRDefault="00736B39" w:rsidP="00736B39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246"/>
              <w:jc w:val="both"/>
              <w:rPr>
                <w:rFonts w:ascii="Lato" w:hAnsi="Lato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</w:rPr>
              <w:t>This procedure is intended as a guide only and the College may deviate from the procedure wherever it considers, at its sole discretion, that it is reasonable to do so.</w:t>
            </w:r>
          </w:p>
          <w:p w14:paraId="39CA6B5B" w14:textId="7357E52D" w:rsidR="00C81A1C" w:rsidRPr="00507C1E" w:rsidRDefault="00C81A1C" w:rsidP="00F72963">
            <w:pPr>
              <w:spacing w:line="276" w:lineRule="auto"/>
              <w:rPr>
                <w:rFonts w:ascii="Lato" w:hAnsi="Lato"/>
              </w:rPr>
            </w:pPr>
          </w:p>
        </w:tc>
      </w:tr>
      <w:tr w:rsidR="00C81A1C" w:rsidRPr="00507C1E" w14:paraId="39CA6B60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507C1E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lastRenderedPageBreak/>
              <w:t>Who will be affected?</w:t>
            </w:r>
            <w:r w:rsidR="005C2CD1" w:rsidRPr="00507C1E">
              <w:rPr>
                <w:rFonts w:ascii="Lato" w:hAnsi="Lato"/>
              </w:rPr>
              <w:t xml:space="preserve"> </w:t>
            </w:r>
          </w:p>
          <w:p w14:paraId="39CA6B5E" w14:textId="77777777" w:rsidR="00D60C67" w:rsidRPr="00507C1E" w:rsidRDefault="00D60C67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Note 2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40153316" w:rsidR="00C81A1C" w:rsidRPr="00507C1E" w:rsidRDefault="00CC5E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507C1E">
              <w:rPr>
                <w:rFonts w:ascii="Lato" w:hAnsi="Lato"/>
                <w:sz w:val="22"/>
                <w:szCs w:val="22"/>
              </w:rPr>
              <w:t xml:space="preserve">Employees and managers affected area will benefit from a detailed step by step </w:t>
            </w:r>
            <w:r w:rsidR="00DC54C2" w:rsidRPr="00507C1E">
              <w:rPr>
                <w:rFonts w:ascii="Lato" w:hAnsi="Lato"/>
                <w:sz w:val="22"/>
                <w:szCs w:val="22"/>
              </w:rPr>
              <w:t>proce</w:t>
            </w:r>
            <w:r w:rsidR="0047569D" w:rsidRPr="00507C1E">
              <w:rPr>
                <w:rFonts w:ascii="Lato" w:hAnsi="Lato"/>
                <w:sz w:val="22"/>
                <w:szCs w:val="22"/>
              </w:rPr>
              <w:t>sses</w:t>
            </w:r>
            <w:r w:rsidR="00DC54C2" w:rsidRPr="00507C1E">
              <w:rPr>
                <w:rFonts w:ascii="Lato" w:hAnsi="Lato"/>
                <w:sz w:val="22"/>
                <w:szCs w:val="22"/>
              </w:rPr>
              <w:t xml:space="preserve"> and </w:t>
            </w:r>
            <w:r w:rsidRPr="00507C1E">
              <w:rPr>
                <w:rFonts w:ascii="Lato" w:hAnsi="Lato"/>
                <w:sz w:val="22"/>
                <w:szCs w:val="22"/>
              </w:rPr>
              <w:t>guidance for each stage of organi</w:t>
            </w:r>
            <w:r w:rsidR="00507C1E" w:rsidRPr="00507C1E">
              <w:rPr>
                <w:rFonts w:ascii="Lato" w:hAnsi="Lato"/>
                <w:sz w:val="22"/>
                <w:szCs w:val="22"/>
              </w:rPr>
              <w:t>s</w:t>
            </w:r>
            <w:r w:rsidRPr="00507C1E">
              <w:rPr>
                <w:rFonts w:ascii="Lato" w:hAnsi="Lato"/>
                <w:sz w:val="22"/>
                <w:szCs w:val="22"/>
              </w:rPr>
              <w:t>ation change</w:t>
            </w:r>
            <w:r w:rsidR="00507C1E" w:rsidRPr="00507C1E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77004D" w:rsidRPr="00507C1E" w14:paraId="2CF234AF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507C1E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</w:rPr>
              <w:t>Who will be consulted?</w:t>
            </w:r>
          </w:p>
          <w:p w14:paraId="28AEDA77" w14:textId="167E6D4E" w:rsidR="0077004D" w:rsidRPr="00507C1E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507C1E">
              <w:rPr>
                <w:rFonts w:ascii="Lato" w:hAnsi="Lato"/>
                <w:sz w:val="20"/>
                <w:szCs w:val="20"/>
              </w:rPr>
              <w:t>See Note 3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13E39162" w:rsidR="0077004D" w:rsidRPr="00507C1E" w:rsidRDefault="00507C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EIS-FELA and Unison were consulted on this Policy &amp; Procedure</w:t>
            </w:r>
            <w:r w:rsidR="0047569D" w:rsidRPr="00507C1E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2611BE07" w14:textId="11B3D3CF" w:rsidR="003E0686" w:rsidRPr="00670940" w:rsidRDefault="003E0686" w:rsidP="00F72963">
      <w:pPr>
        <w:spacing w:after="0"/>
      </w:pPr>
    </w:p>
    <w:p w14:paraId="3AD167B1" w14:textId="28B61566" w:rsidR="003E0686" w:rsidRDefault="003E0686" w:rsidP="00F72963">
      <w:pPr>
        <w:spacing w:after="0"/>
        <w:rPr>
          <w:b/>
        </w:rPr>
      </w:pPr>
      <w:r w:rsidRPr="00670940">
        <w:rPr>
          <w:b/>
        </w:rPr>
        <w:t>Step 2 – Consider the Evidence</w:t>
      </w:r>
    </w:p>
    <w:p w14:paraId="6C5FAFA9" w14:textId="292F75B9" w:rsidR="00955897" w:rsidRPr="00021116" w:rsidRDefault="00F45E39" w:rsidP="00F72963">
      <w:pPr>
        <w:spacing w:after="0"/>
      </w:pPr>
      <w:r>
        <w:rPr>
          <w:bCs/>
        </w:rPr>
        <w:t xml:space="preserve">What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the</w:t>
      </w:r>
      <w:r w:rsidR="00021116" w:rsidRPr="00021116">
        <w:rPr>
          <w:bCs/>
        </w:rPr>
        <w:t xml:space="preserve"> evidence we need and how we</w:t>
      </w:r>
      <w:r w:rsidR="00021116" w:rsidRPr="00021116">
        <w:t xml:space="preserve"> </w:t>
      </w:r>
      <w:r w:rsidR="007E21BB">
        <w:t xml:space="preserve">can </w:t>
      </w:r>
      <w:r w:rsidR="006B3A69">
        <w:t>gather</w:t>
      </w:r>
      <w:r w:rsidR="00021116">
        <w:t xml:space="preserve"> them</w:t>
      </w:r>
      <w:r w:rsidR="00551062"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420"/>
      </w:tblGrid>
      <w:tr w:rsidR="00323A6A" w:rsidRPr="00670940" w14:paraId="39CA6B6A" w14:textId="77777777" w:rsidTr="009D1160">
        <w:trPr>
          <w:trHeight w:val="360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2F6B33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What evidence is av</w:t>
            </w:r>
            <w:r w:rsidR="007F24AD" w:rsidRPr="002F6B33">
              <w:rPr>
                <w:rFonts w:ascii="Lato" w:hAnsi="Lato"/>
              </w:rPr>
              <w:t>ailable</w:t>
            </w:r>
            <w:r w:rsidRPr="002F6B33">
              <w:rPr>
                <w:rFonts w:ascii="Lato" w:hAnsi="Lato"/>
              </w:rPr>
              <w:t xml:space="preserve"> </w:t>
            </w:r>
            <w:r w:rsidR="007F24AD" w:rsidRPr="002F6B33">
              <w:rPr>
                <w:rFonts w:ascii="Lato" w:hAnsi="Lato"/>
              </w:rPr>
              <w:t>of</w:t>
            </w:r>
            <w:r w:rsidRPr="002F6B33">
              <w:rPr>
                <w:rFonts w:ascii="Lato" w:hAnsi="Lato"/>
              </w:rPr>
              <w:t xml:space="preserve"> how the</w:t>
            </w:r>
            <w:r w:rsidR="001845F7" w:rsidRPr="002F6B33">
              <w:rPr>
                <w:rFonts w:ascii="Lato" w:hAnsi="Lato"/>
              </w:rPr>
              <w:t xml:space="preserve"> </w:t>
            </w:r>
            <w:r w:rsidR="007F24AD" w:rsidRPr="002F6B33">
              <w:rPr>
                <w:rFonts w:ascii="Lato" w:hAnsi="Lato"/>
              </w:rPr>
              <w:t>policy/decision, etc. affects</w:t>
            </w:r>
            <w:r w:rsidR="00E60538" w:rsidRPr="002F6B33">
              <w:rPr>
                <w:rFonts w:ascii="Lato" w:hAnsi="Lato"/>
              </w:rPr>
              <w:t>,</w:t>
            </w:r>
            <w:r w:rsidR="007F24AD" w:rsidRPr="002F6B33">
              <w:rPr>
                <w:rFonts w:ascii="Lato" w:hAnsi="Lato"/>
              </w:rPr>
              <w:t xml:space="preserve"> or may affect</w:t>
            </w:r>
            <w:r w:rsidR="00E60538" w:rsidRPr="002F6B33">
              <w:rPr>
                <w:rFonts w:ascii="Lato" w:hAnsi="Lato"/>
              </w:rPr>
              <w:t>,</w:t>
            </w:r>
            <w:r w:rsidR="007F24AD" w:rsidRPr="002F6B33">
              <w:rPr>
                <w:rFonts w:ascii="Lato" w:hAnsi="Lato"/>
              </w:rPr>
              <w:t xml:space="preserve"> protected groups?</w:t>
            </w:r>
          </w:p>
          <w:p w14:paraId="519E5456" w14:textId="77777777" w:rsidR="00A64B24" w:rsidRPr="002F6B33" w:rsidRDefault="00A64B24" w:rsidP="00F72963">
            <w:pPr>
              <w:spacing w:line="276" w:lineRule="auto"/>
              <w:rPr>
                <w:rFonts w:ascii="Lato" w:hAnsi="Lato"/>
              </w:rPr>
            </w:pPr>
          </w:p>
          <w:p w14:paraId="39CA6B66" w14:textId="314EFFEF" w:rsidR="007F24AD" w:rsidRPr="002F6B33" w:rsidRDefault="007F24AD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Evidence could be quantitative, qualitative or anecdotal.</w:t>
            </w:r>
          </w:p>
          <w:p w14:paraId="3EBD378F" w14:textId="77777777" w:rsidR="00061ECF" w:rsidRPr="002F6B33" w:rsidRDefault="00061ECF" w:rsidP="00F72963">
            <w:pPr>
              <w:spacing w:line="276" w:lineRule="auto"/>
              <w:rPr>
                <w:rFonts w:ascii="Lato" w:hAnsi="Lato"/>
              </w:rPr>
            </w:pPr>
          </w:p>
          <w:p w14:paraId="39CA6B67" w14:textId="77777777" w:rsidR="000B7095" w:rsidRPr="002F6B33" w:rsidRDefault="000B7095" w:rsidP="00F72963">
            <w:pPr>
              <w:spacing w:line="276" w:lineRule="auto"/>
              <w:rPr>
                <w:rFonts w:ascii="Lato" w:hAnsi="Lato"/>
              </w:rPr>
            </w:pPr>
            <w:r w:rsidRPr="002F6B33">
              <w:rPr>
                <w:rFonts w:ascii="Lato" w:hAnsi="Lato"/>
              </w:rPr>
              <w:t>Do we have enough evidence to judge what the impact may be?</w:t>
            </w:r>
          </w:p>
          <w:p w14:paraId="39CA6B68" w14:textId="77777777" w:rsidR="009748F9" w:rsidRPr="002F6B33" w:rsidRDefault="009748F9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2F6B33">
              <w:rPr>
                <w:rFonts w:ascii="Lato" w:hAnsi="Lato"/>
                <w:sz w:val="20"/>
              </w:rPr>
              <w:t>See note 4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EB6" w14:textId="77777777" w:rsidR="00B94D76" w:rsidRPr="002F6B33" w:rsidRDefault="00B94D76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9ED646C" w14:textId="65EFEFFE" w:rsidR="0047569D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As this is a new </w:t>
            </w:r>
            <w:r w:rsidR="00637017" w:rsidRPr="00035369">
              <w:rPr>
                <w:rFonts w:ascii="Lato" w:hAnsi="Lato"/>
                <w:sz w:val="22"/>
                <w:szCs w:val="22"/>
              </w:rPr>
              <w:t>p</w:t>
            </w:r>
            <w:r w:rsidRPr="00035369">
              <w:rPr>
                <w:rFonts w:ascii="Lato" w:hAnsi="Lato"/>
                <w:sz w:val="22"/>
                <w:szCs w:val="22"/>
              </w:rPr>
              <w:t>rocedure, we have not established the way how to collect a relevant information</w:t>
            </w:r>
            <w:r w:rsidR="00FD757E" w:rsidRPr="00035369">
              <w:rPr>
                <w:rFonts w:ascii="Lato" w:hAnsi="Lato"/>
                <w:sz w:val="22"/>
                <w:szCs w:val="22"/>
              </w:rPr>
              <w:t xml:space="preserve"> and analyse them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, however, </w:t>
            </w:r>
            <w:r w:rsidR="00507C1E" w:rsidRPr="00035369">
              <w:rPr>
                <w:rFonts w:ascii="Lato" w:hAnsi="Lato"/>
                <w:sz w:val="22"/>
                <w:szCs w:val="22"/>
              </w:rPr>
              <w:t>o</w:t>
            </w:r>
            <w:r w:rsidRPr="00035369">
              <w:rPr>
                <w:rFonts w:ascii="Lato" w:hAnsi="Lato"/>
                <w:sz w:val="22"/>
                <w:szCs w:val="22"/>
              </w:rPr>
              <w:t>rgani</w:t>
            </w:r>
            <w:r w:rsidR="00507C1E" w:rsidRPr="00035369">
              <w:rPr>
                <w:rFonts w:ascii="Lato" w:hAnsi="Lato"/>
                <w:sz w:val="22"/>
                <w:szCs w:val="22"/>
              </w:rPr>
              <w:t>s</w:t>
            </w:r>
            <w:r w:rsidRPr="00035369">
              <w:rPr>
                <w:rFonts w:ascii="Lato" w:hAnsi="Lato"/>
                <w:sz w:val="22"/>
                <w:szCs w:val="22"/>
              </w:rPr>
              <w:t>ation changes are not new and we have followed appropriate processes</w:t>
            </w:r>
            <w:r w:rsidR="00637017" w:rsidRPr="00035369">
              <w:rPr>
                <w:rFonts w:ascii="Lato" w:hAnsi="Lato"/>
                <w:sz w:val="22"/>
                <w:szCs w:val="22"/>
              </w:rPr>
              <w:t>,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and all relevant documents and information have been recorded properly and accurately. HR partners are involved closely and working with managers at all stages</w:t>
            </w:r>
            <w:r w:rsidR="00637017" w:rsidRPr="00035369">
              <w:rPr>
                <w:rFonts w:ascii="Lato" w:hAnsi="Lato"/>
                <w:sz w:val="22"/>
                <w:szCs w:val="22"/>
              </w:rPr>
              <w:t>, hence any issues or negative feedback are picked up and dealt them within HR.</w:t>
            </w:r>
            <w:r w:rsidR="00FD757E" w:rsidRPr="00035369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6A947CD4" w14:textId="77777777" w:rsidR="0047569D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1BD4241" w14:textId="30A36E72" w:rsidR="00FD757E" w:rsidRPr="00035369" w:rsidRDefault="0047569D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Sensitive information for affected employees </w:t>
            </w:r>
            <w:r w:rsidR="00FD757E" w:rsidRPr="00035369">
              <w:rPr>
                <w:rFonts w:ascii="Lato" w:hAnsi="Lato"/>
                <w:sz w:val="22"/>
                <w:szCs w:val="22"/>
              </w:rPr>
              <w:t>is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</w:t>
            </w:r>
            <w:r w:rsidR="00FD757E" w:rsidRPr="00035369">
              <w:rPr>
                <w:rFonts w:ascii="Lato" w:hAnsi="Lato"/>
                <w:sz w:val="22"/>
                <w:szCs w:val="22"/>
              </w:rPr>
              <w:t>reviewed in advance in order to avoid any unfair discrimination.</w:t>
            </w:r>
          </w:p>
          <w:p w14:paraId="04401543" w14:textId="77777777" w:rsidR="008942B2" w:rsidRPr="00035369" w:rsidRDefault="008942B2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4B3767B" w14:textId="77777777" w:rsidR="008942B2" w:rsidRPr="00035369" w:rsidRDefault="008942B2" w:rsidP="008942B2">
            <w:pPr>
              <w:pStyle w:val="TableParagraph"/>
              <w:jc w:val="both"/>
              <w:rPr>
                <w:rFonts w:ascii="Lato" w:hAnsi="Lato"/>
              </w:rPr>
            </w:pPr>
            <w:r w:rsidRPr="00035369">
              <w:rPr>
                <w:rFonts w:ascii="Lato" w:hAnsi="Lato"/>
              </w:rPr>
              <w:t>Ongoing review and discussion with both EIS-FELA and Unison on the implementation of the updated policy and procedure may provide evidence going forward.</w:t>
            </w:r>
          </w:p>
          <w:p w14:paraId="39CA6B69" w14:textId="51033CCB" w:rsidR="008942B2" w:rsidRPr="002F6B33" w:rsidRDefault="008942B2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03CFE" w14:textId="77777777" w:rsidR="003E0686" w:rsidRPr="00670940" w:rsidRDefault="003E0686" w:rsidP="00F72963">
      <w:pPr>
        <w:spacing w:after="0"/>
        <w:rPr>
          <w:b/>
          <w:color w:val="221E1F"/>
          <w:sz w:val="28"/>
          <w:szCs w:val="23"/>
        </w:rPr>
      </w:pPr>
    </w:p>
    <w:p w14:paraId="39CA6B6F" w14:textId="5DD8AF1A" w:rsidR="009D7A0F" w:rsidRPr="006B3A69" w:rsidRDefault="009D7A0F" w:rsidP="00F72963">
      <w:pPr>
        <w:spacing w:after="0"/>
        <w:rPr>
          <w:b/>
          <w:color w:val="221E1F"/>
        </w:rPr>
      </w:pPr>
      <w:r w:rsidRPr="006B3A69">
        <w:rPr>
          <w:b/>
          <w:color w:val="221E1F"/>
        </w:rPr>
        <w:t xml:space="preserve">Step </w:t>
      </w:r>
      <w:r w:rsidR="003E0686" w:rsidRPr="006B3A69">
        <w:rPr>
          <w:b/>
          <w:color w:val="221E1F"/>
        </w:rPr>
        <w:t>3</w:t>
      </w:r>
      <w:r w:rsidRPr="006B3A69">
        <w:rPr>
          <w:b/>
          <w:color w:val="221E1F"/>
        </w:rPr>
        <w:t xml:space="preserve"> – Assessing the impact</w:t>
      </w:r>
    </w:p>
    <w:p w14:paraId="39CA6B70" w14:textId="77777777" w:rsidR="009D7A0F" w:rsidRPr="00670940" w:rsidRDefault="009D7A0F" w:rsidP="00F72963">
      <w:pPr>
        <w:spacing w:after="0"/>
        <w:rPr>
          <w:color w:val="221E1F"/>
        </w:rPr>
      </w:pPr>
      <w:r w:rsidRPr="00670940">
        <w:rPr>
          <w:color w:val="221E1F"/>
        </w:rPr>
        <w:t>This involves:</w:t>
      </w:r>
    </w:p>
    <w:p w14:paraId="39CA6B71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t>Considering relevant evidence relating to people who share a protected characteristic</w:t>
      </w:r>
    </w:p>
    <w:p w14:paraId="39CA6B72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lastRenderedPageBreak/>
        <w:t>Assessing the impact of applying a decision of a new or revised policy or practice against the needs of the Public Sector Equality Duty (PSED) and each protected characteristic</w:t>
      </w:r>
      <w:r w:rsidR="00AC2C10" w:rsidRPr="00670940">
        <w:rPr>
          <w:color w:val="221E1F"/>
        </w:rPr>
        <w:t>.</w:t>
      </w:r>
    </w:p>
    <w:p w14:paraId="2687ADF2" w14:textId="77777777" w:rsidR="003E3068" w:rsidRDefault="003E3068" w:rsidP="000C0437">
      <w:pPr>
        <w:shd w:val="clear" w:color="auto" w:fill="FFFFFF" w:themeFill="background1"/>
        <w:tabs>
          <w:tab w:val="left" w:pos="10348"/>
          <w:tab w:val="left" w:pos="10490"/>
          <w:tab w:val="left" w:pos="10632"/>
        </w:tabs>
        <w:spacing w:after="0"/>
        <w:ind w:right="219"/>
        <w:rPr>
          <w:color w:val="221E1F"/>
        </w:rPr>
      </w:pPr>
    </w:p>
    <w:p w14:paraId="39CA6B73" w14:textId="21B3DCD8" w:rsidR="009D7A0F" w:rsidRPr="00670940" w:rsidRDefault="003E0686" w:rsidP="00F72963">
      <w:pPr>
        <w:shd w:val="clear" w:color="auto" w:fill="FFFFFF" w:themeFill="background1"/>
        <w:spacing w:after="0"/>
        <w:rPr>
          <w:color w:val="221E1F"/>
        </w:rPr>
      </w:pPr>
      <w:r w:rsidRPr="00670940">
        <w:rPr>
          <w:color w:val="221E1F"/>
        </w:rPr>
        <w:t>How will the policy / decision help the College to comply with t</w:t>
      </w:r>
      <w:r w:rsidR="009D7A0F" w:rsidRPr="00670940">
        <w:rPr>
          <w:color w:val="221E1F"/>
        </w:rPr>
        <w:t xml:space="preserve">he </w:t>
      </w:r>
      <w:r w:rsidR="00792882" w:rsidRPr="00670940">
        <w:rPr>
          <w:color w:val="221E1F"/>
        </w:rPr>
        <w:t>Public Sector Equality Duty</w:t>
      </w:r>
      <w:r w:rsidR="00D73F3C">
        <w:rPr>
          <w:color w:val="221E1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5245"/>
        <w:gridCol w:w="5459"/>
      </w:tblGrid>
      <w:tr w:rsidR="00792882" w:rsidRPr="00670940" w14:paraId="39CA6B7C" w14:textId="77777777" w:rsidTr="00637017">
        <w:trPr>
          <w:trHeight w:val="1318"/>
        </w:trPr>
        <w:tc>
          <w:tcPr>
            <w:tcW w:w="1351" w:type="pct"/>
            <w:shd w:val="clear" w:color="auto" w:fill="FBD4B4" w:themeFill="accent6" w:themeFillTint="66"/>
          </w:tcPr>
          <w:p w14:paraId="39CA6B74" w14:textId="3D0FBBDE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Eliminating discrimination, harassment</w:t>
            </w:r>
            <w:r w:rsidR="006E0572" w:rsidRPr="00670940">
              <w:rPr>
                <w:b/>
              </w:rPr>
              <w:t>,</w:t>
            </w:r>
            <w:r w:rsidRPr="00670940">
              <w:rPr>
                <w:b/>
              </w:rPr>
              <w:t xml:space="preserve"> and victimisation</w:t>
            </w:r>
          </w:p>
        </w:tc>
        <w:tc>
          <w:tcPr>
            <w:tcW w:w="1788" w:type="pct"/>
            <w:shd w:val="clear" w:color="auto" w:fill="FBD4B4" w:themeFill="accent6" w:themeFillTint="66"/>
          </w:tcPr>
          <w:p w14:paraId="39CA6B75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Advancing equality-</w:t>
            </w:r>
          </w:p>
          <w:p w14:paraId="39CA6B76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Removing disadvantage</w:t>
            </w:r>
          </w:p>
          <w:p w14:paraId="39CA6B77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Meeting different needs</w:t>
            </w:r>
          </w:p>
          <w:p w14:paraId="39CA6B78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Encouraging participation</w:t>
            </w:r>
          </w:p>
        </w:tc>
        <w:tc>
          <w:tcPr>
            <w:tcW w:w="1861" w:type="pct"/>
            <w:shd w:val="clear" w:color="auto" w:fill="FBD4B4" w:themeFill="accent6" w:themeFillTint="66"/>
          </w:tcPr>
          <w:p w14:paraId="39CA6B79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Fostering good relations</w:t>
            </w:r>
          </w:p>
          <w:p w14:paraId="39CA6B7A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Tackling prejudice</w:t>
            </w:r>
          </w:p>
          <w:p w14:paraId="39CA6B7B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Promoting understanding</w:t>
            </w:r>
          </w:p>
        </w:tc>
      </w:tr>
      <w:tr w:rsidR="003E0686" w:rsidRPr="00670940" w14:paraId="6CD8DFFD" w14:textId="77777777" w:rsidTr="00637017">
        <w:trPr>
          <w:trHeight w:val="1318"/>
        </w:trPr>
        <w:tc>
          <w:tcPr>
            <w:tcW w:w="1351" w:type="pct"/>
            <w:shd w:val="clear" w:color="auto" w:fill="auto"/>
          </w:tcPr>
          <w:p w14:paraId="2DD6A99F" w14:textId="61DD9071" w:rsidR="001D0425" w:rsidRPr="00035369" w:rsidRDefault="001D0425" w:rsidP="001D0425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This procedure provides a framework for managing change effectively, fairly and consistently through planning, consultation and communication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 in the development and implementation of change at the College.</w:t>
            </w:r>
          </w:p>
          <w:p w14:paraId="35A72352" w14:textId="77777777" w:rsidR="001D0425" w:rsidRPr="00035369" w:rsidRDefault="001D0425" w:rsidP="0036410D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9DAF0DE" w14:textId="3619C5BD" w:rsidR="0036410D" w:rsidRPr="00035369" w:rsidRDefault="0036410D" w:rsidP="0036410D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Employees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 in affected area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have the right</w:t>
            </w:r>
            <w:r w:rsidRPr="000353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to representation</w:t>
            </w:r>
            <w:r w:rsidRPr="00035369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from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either</w:t>
            </w:r>
            <w:r w:rsidRPr="00035369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a fellow</w:t>
            </w:r>
            <w:r w:rsidRPr="000353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employee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or</w:t>
            </w:r>
            <w:r w:rsidRPr="000353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035369">
              <w:rPr>
                <w:rFonts w:ascii="Lato" w:hAnsi="Lato"/>
                <w:sz w:val="22"/>
                <w:szCs w:val="22"/>
              </w:rPr>
              <w:t>a trade union representative at individual consultation meetings.</w:t>
            </w:r>
            <w:r w:rsidR="001669E8" w:rsidRPr="00035369">
              <w:rPr>
                <w:rFonts w:ascii="Lato" w:hAnsi="Lato"/>
                <w:sz w:val="22"/>
                <w:szCs w:val="22"/>
              </w:rPr>
              <w:t xml:space="preserve">  There are also consultation meetings with recognised unions.</w:t>
            </w:r>
          </w:p>
          <w:p w14:paraId="3979B23D" w14:textId="7B47ECC0" w:rsidR="003E0686" w:rsidRPr="00035369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88" w:type="pct"/>
            <w:shd w:val="clear" w:color="auto" w:fill="auto"/>
          </w:tcPr>
          <w:p w14:paraId="482FD7DD" w14:textId="59C82C96" w:rsidR="0036410D" w:rsidRPr="00035369" w:rsidRDefault="0036410D" w:rsidP="001669E8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Affected employees are encouraged to provide feedback on the proposals presented in the format requested.</w:t>
            </w:r>
          </w:p>
          <w:p w14:paraId="6F636C5A" w14:textId="5440AE2F" w:rsidR="0036410D" w:rsidRPr="00035369" w:rsidRDefault="0036410D" w:rsidP="0036410D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jc w:val="both"/>
              <w:rPr>
                <w:rFonts w:ascii="Lato" w:hAnsi="Lato"/>
                <w:sz w:val="22"/>
                <w:szCs w:val="22"/>
              </w:rPr>
            </w:pPr>
          </w:p>
          <w:p w14:paraId="506713B8" w14:textId="593000E2" w:rsidR="0036410D" w:rsidRPr="00035369" w:rsidRDefault="0036410D" w:rsidP="009D1160">
            <w:pPr>
              <w:widowControl w:val="0"/>
              <w:tabs>
                <w:tab w:val="left" w:pos="2238"/>
              </w:tabs>
              <w:autoSpaceDE w:val="0"/>
              <w:autoSpaceDN w:val="0"/>
              <w:spacing w:before="1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Where a statutory obligation requires the College to give preferential treatment to some individuals who are at risk of losing their employment</w:t>
            </w:r>
            <w:r w:rsidR="00637017" w:rsidRPr="00035369">
              <w:rPr>
                <w:rFonts w:ascii="Lato" w:hAnsi="Lato"/>
                <w:sz w:val="22"/>
                <w:szCs w:val="22"/>
              </w:rPr>
              <w:t xml:space="preserve">. </w:t>
            </w:r>
            <w:r w:rsidRPr="00035369">
              <w:rPr>
                <w:rFonts w:ascii="Lato" w:hAnsi="Lato"/>
                <w:sz w:val="22"/>
                <w:szCs w:val="22"/>
              </w:rPr>
              <w:t>Pregnant employees, Employees who have taken adoption leave and employees taking less than six weeks shared parental leave</w:t>
            </w:r>
            <w:r w:rsidR="008942B2" w:rsidRPr="00035369">
              <w:rPr>
                <w:rFonts w:ascii="Lato" w:hAnsi="Lato"/>
                <w:sz w:val="22"/>
                <w:szCs w:val="22"/>
              </w:rPr>
              <w:t xml:space="preserve"> are provided this treatment</w:t>
            </w:r>
            <w:r w:rsidRPr="00035369">
              <w:rPr>
                <w:rFonts w:ascii="Lato" w:hAnsi="Lato"/>
                <w:sz w:val="22"/>
                <w:szCs w:val="22"/>
              </w:rPr>
              <w:t>.</w:t>
            </w:r>
          </w:p>
          <w:p w14:paraId="0CB7956C" w14:textId="679565AC" w:rsidR="0036410D" w:rsidRPr="00035369" w:rsidRDefault="003641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1" w:type="pct"/>
            <w:shd w:val="clear" w:color="auto" w:fill="auto"/>
          </w:tcPr>
          <w:p w14:paraId="24990DBC" w14:textId="711F81CA" w:rsidR="003E0686" w:rsidRPr="00035369" w:rsidRDefault="000C0437" w:rsidP="0063701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 xml:space="preserve">During any consultation exercise, </w:t>
            </w:r>
            <w:r w:rsidR="00F70A1F" w:rsidRPr="00035369">
              <w:rPr>
                <w:rFonts w:ascii="Lato" w:hAnsi="Lato"/>
                <w:sz w:val="22"/>
                <w:szCs w:val="22"/>
              </w:rPr>
              <w:t xml:space="preserve">the following principles apply: </w:t>
            </w:r>
          </w:p>
          <w:p w14:paraId="09F44A38" w14:textId="3DBCC00B" w:rsidR="000C0437" w:rsidRPr="00035369" w:rsidRDefault="009C218C" w:rsidP="009C218C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c</w:t>
            </w:r>
            <w:r w:rsidR="000C0437" w:rsidRPr="00035369">
              <w:rPr>
                <w:rFonts w:ascii="Lato" w:hAnsi="Lato"/>
                <w:sz w:val="22"/>
                <w:szCs w:val="22"/>
              </w:rPr>
              <w:t>ommunication at the earliest opportunity, with open and honest discussion with employees and their representatives, and listening and responding their views,</w:t>
            </w:r>
          </w:p>
          <w:p w14:paraId="71911089" w14:textId="2C766890" w:rsidR="000C0437" w:rsidRPr="00035369" w:rsidRDefault="009C218C" w:rsidP="009C218C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</w:t>
            </w:r>
            <w:r w:rsidR="000C0437" w:rsidRPr="00035369">
              <w:rPr>
                <w:rFonts w:ascii="Lato" w:hAnsi="Lato"/>
                <w:sz w:val="22"/>
                <w:szCs w:val="22"/>
              </w:rPr>
              <w:t xml:space="preserve">mployees and their representatives have clear and up-to-date information </w:t>
            </w:r>
            <w:r w:rsidRPr="00035369">
              <w:rPr>
                <w:rFonts w:ascii="Lato" w:hAnsi="Lato"/>
                <w:sz w:val="22"/>
                <w:szCs w:val="22"/>
              </w:rPr>
              <w:t>during periods of major change,</w:t>
            </w:r>
          </w:p>
          <w:p w14:paraId="3CEACD54" w14:textId="77777777" w:rsidR="00592869" w:rsidRDefault="009C218C" w:rsidP="00592869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employees and their representatives have an opportunity to influence changes affecting their working lives,</w:t>
            </w:r>
          </w:p>
          <w:p w14:paraId="06D80580" w14:textId="52CDD17F" w:rsidR="000C0437" w:rsidRPr="00592869" w:rsidRDefault="000C0437" w:rsidP="00592869">
            <w:pPr>
              <w:pStyle w:val="ListParagraph"/>
              <w:numPr>
                <w:ilvl w:val="0"/>
                <w:numId w:val="20"/>
              </w:numPr>
              <w:rPr>
                <w:rFonts w:ascii="Lato" w:hAnsi="Lato"/>
                <w:sz w:val="22"/>
                <w:szCs w:val="22"/>
              </w:rPr>
            </w:pPr>
            <w:r w:rsidRPr="00592869">
              <w:rPr>
                <w:rFonts w:ascii="Lato" w:hAnsi="Lato"/>
                <w:sz w:val="22"/>
                <w:szCs w:val="22"/>
              </w:rPr>
              <w:t>the</w:t>
            </w:r>
            <w:r w:rsidRPr="005928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College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will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fulfil</w:t>
            </w:r>
            <w:r w:rsidRPr="00592869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its</w:t>
            </w:r>
            <w:r w:rsidRPr="00592869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legal</w:t>
            </w:r>
            <w:r w:rsidRPr="00592869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obligations</w:t>
            </w:r>
            <w:r w:rsidRPr="00592869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through</w:t>
            </w:r>
            <w:r w:rsidRPr="00592869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z w:val="22"/>
                <w:szCs w:val="22"/>
              </w:rPr>
              <w:t>meaningful</w:t>
            </w:r>
            <w:r w:rsidRPr="00592869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592869">
              <w:rPr>
                <w:rFonts w:ascii="Lato" w:hAnsi="Lato"/>
                <w:spacing w:val="-2"/>
                <w:sz w:val="22"/>
                <w:szCs w:val="22"/>
              </w:rPr>
              <w:t>consultation.</w:t>
            </w:r>
          </w:p>
          <w:p w14:paraId="79EBF9BE" w14:textId="5A69B6DC" w:rsidR="000C0437" w:rsidRPr="00035369" w:rsidRDefault="000C043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670940" w:rsidRDefault="009D7A0F" w:rsidP="00F72963">
      <w:pPr>
        <w:tabs>
          <w:tab w:val="left" w:pos="11718"/>
        </w:tabs>
        <w:spacing w:after="0"/>
        <w:ind w:left="113"/>
        <w:rPr>
          <w:color w:val="221E1F"/>
          <w:sz w:val="28"/>
          <w:szCs w:val="23"/>
        </w:rPr>
      </w:pPr>
      <w:r w:rsidRPr="00670940">
        <w:rPr>
          <w:sz w:val="20"/>
        </w:rPr>
        <w:t>See Note 5</w:t>
      </w:r>
      <w:r w:rsidRPr="00670940">
        <w:rPr>
          <w:color w:val="221E1F"/>
          <w:sz w:val="28"/>
          <w:szCs w:val="23"/>
        </w:rPr>
        <w:tab/>
      </w:r>
    </w:p>
    <w:p w14:paraId="7A7BA343" w14:textId="77777777" w:rsidR="006B3A69" w:rsidRDefault="006B3A69" w:rsidP="00F72963">
      <w:pPr>
        <w:pStyle w:val="Pa4"/>
        <w:spacing w:line="276" w:lineRule="auto"/>
        <w:rPr>
          <w:rFonts w:ascii="Arial" w:hAnsi="Arial" w:cs="Arial"/>
          <w:color w:val="221E1F"/>
          <w:sz w:val="28"/>
          <w:szCs w:val="23"/>
        </w:rPr>
      </w:pPr>
    </w:p>
    <w:p w14:paraId="39CA6B7E" w14:textId="0FDBB356" w:rsidR="009D7A0F" w:rsidRPr="00F9054A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F9054A">
        <w:rPr>
          <w:rFonts w:ascii="Lato" w:hAnsi="Lato" w:cs="Arial"/>
          <w:sz w:val="22"/>
          <w:szCs w:val="22"/>
        </w:rPr>
        <w:t>.</w:t>
      </w:r>
      <w:r w:rsidRPr="00F9054A">
        <w:rPr>
          <w:rFonts w:ascii="Lato" w:hAnsi="Lato" w:cs="Arial"/>
          <w:sz w:val="22"/>
          <w:szCs w:val="22"/>
        </w:rPr>
        <w:t>g</w:t>
      </w:r>
      <w:r w:rsidR="00AC2C10" w:rsidRPr="00F9054A">
        <w:rPr>
          <w:rFonts w:ascii="Lato" w:hAnsi="Lato" w:cs="Arial"/>
          <w:sz w:val="22"/>
          <w:szCs w:val="22"/>
        </w:rPr>
        <w:t>.</w:t>
      </w:r>
      <w:r w:rsidRPr="00F9054A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F9054A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F9054A">
        <w:rPr>
          <w:rFonts w:ascii="Lato" w:hAnsi="Lato" w:cs="Arial"/>
          <w:sz w:val="22"/>
          <w:szCs w:val="22"/>
        </w:rPr>
        <w:lastRenderedPageBreak/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F9054A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F9054A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670940" w:rsidRDefault="00ED6941" w:rsidP="00F72963">
      <w:pPr>
        <w:spacing w:after="0"/>
        <w:rPr>
          <w:color w:val="221E1F"/>
          <w:sz w:val="28"/>
          <w:szCs w:val="23"/>
        </w:rPr>
      </w:pPr>
      <w:r w:rsidRPr="00670940">
        <w:rPr>
          <w:color w:val="221E1F"/>
          <w:sz w:val="20"/>
          <w:szCs w:val="23"/>
        </w:rPr>
        <w:t>See Note 6</w:t>
      </w:r>
      <w:r w:rsidR="00E9760D" w:rsidRPr="00670940">
        <w:rPr>
          <w:color w:val="221E1F"/>
          <w:sz w:val="28"/>
          <w:szCs w:val="23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812"/>
        <w:gridCol w:w="1290"/>
        <w:gridCol w:w="5155"/>
        <w:gridCol w:w="1312"/>
        <w:gridCol w:w="5099"/>
      </w:tblGrid>
      <w:tr w:rsidR="006F50B8" w:rsidRPr="00670940" w14:paraId="39CA6B8D" w14:textId="77777777" w:rsidTr="527843A1">
        <w:trPr>
          <w:trHeight w:val="810"/>
          <w:tblHeader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670940" w:rsidRDefault="00D234C4" w:rsidP="00F72963">
            <w:pPr>
              <w:spacing w:line="276" w:lineRule="auto"/>
              <w:jc w:val="center"/>
            </w:pPr>
            <w:r w:rsidRPr="00670940">
              <w:lastRenderedPageBreak/>
              <w:t>Protected characteristic</w:t>
            </w:r>
          </w:p>
          <w:p w14:paraId="39CA6B87" w14:textId="77777777" w:rsidR="00D234C4" w:rsidRPr="00670940" w:rsidRDefault="00D234C4" w:rsidP="00F729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670940" w:rsidRDefault="00F70D37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39CA6B89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Positive Impact</w:t>
            </w:r>
            <w:r w:rsidR="00E9760D" w:rsidRPr="00670940">
              <w:t xml:space="preserve"> Y/N</w:t>
            </w:r>
          </w:p>
        </w:tc>
        <w:tc>
          <w:tcPr>
            <w:tcW w:w="5155" w:type="dxa"/>
            <w:shd w:val="clear" w:color="auto" w:fill="FDE9D9" w:themeFill="accent6" w:themeFillTint="33"/>
            <w:vAlign w:val="center"/>
          </w:tcPr>
          <w:p w14:paraId="39CA6B8A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Deta</w:t>
            </w:r>
            <w:r w:rsidR="00202247" w:rsidRPr="00670940">
              <w:t>ils of Expected Positive Impact</w:t>
            </w:r>
          </w:p>
        </w:tc>
        <w:tc>
          <w:tcPr>
            <w:tcW w:w="1312" w:type="dxa"/>
            <w:shd w:val="clear" w:color="auto" w:fill="FDE9D9" w:themeFill="accent6" w:themeFillTint="33"/>
            <w:vAlign w:val="center"/>
          </w:tcPr>
          <w:p w14:paraId="39CA6B8B" w14:textId="77777777" w:rsidR="006F48B0" w:rsidRPr="00670940" w:rsidRDefault="00F70D37" w:rsidP="00F72963">
            <w:pPr>
              <w:spacing w:line="276" w:lineRule="auto"/>
              <w:jc w:val="center"/>
            </w:pPr>
            <w:r w:rsidRPr="00670940">
              <w:t xml:space="preserve">Potential </w:t>
            </w:r>
            <w:r w:rsidR="006F48B0" w:rsidRPr="00670940">
              <w:t xml:space="preserve">Negative Impact </w:t>
            </w:r>
            <w:r w:rsidR="00E9760D" w:rsidRPr="00670940">
              <w:t>Y/N</w:t>
            </w:r>
          </w:p>
        </w:tc>
        <w:tc>
          <w:tcPr>
            <w:tcW w:w="5099" w:type="dxa"/>
            <w:shd w:val="clear" w:color="auto" w:fill="FDE9D9" w:themeFill="accent6" w:themeFillTint="33"/>
            <w:vAlign w:val="center"/>
          </w:tcPr>
          <w:p w14:paraId="39CA6B8C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 xml:space="preserve">Details of Expected Negative </w:t>
            </w:r>
            <w:r w:rsidR="00202247" w:rsidRPr="00670940">
              <w:t>Impact</w:t>
            </w:r>
          </w:p>
        </w:tc>
      </w:tr>
      <w:tr w:rsidR="00176A70" w:rsidRPr="00670940" w14:paraId="39CA6B93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670940" w:rsidRDefault="00E9760D" w:rsidP="00F72963">
            <w:pPr>
              <w:spacing w:line="276" w:lineRule="auto"/>
            </w:pPr>
            <w:r w:rsidRPr="00670940">
              <w:t>Age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65FC648" w:rsidR="00E9760D" w:rsidRPr="001B1874" w:rsidRDefault="0036410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615648D" w14:textId="4BEF7320" w:rsidR="00E9760D" w:rsidRPr="001B1874" w:rsidRDefault="003641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Managers</w:t>
            </w:r>
            <w:r w:rsidRPr="001B1874">
              <w:rPr>
                <w:rFonts w:ascii="Lato" w:hAnsi="Lato"/>
                <w:spacing w:val="-10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proposing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organisational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change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should,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0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first</w:t>
            </w:r>
            <w:r w:rsidRPr="001B1874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instance, discuss with their HR Partner the proposed change(s) and how those changes may impact on individual employees or groups of employees in any given faculty or department.</w:t>
            </w:r>
            <w:r w:rsidR="0032051D" w:rsidRPr="001B1874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40A93D07" w14:textId="77777777" w:rsidR="0032051D" w:rsidRPr="001B1874" w:rsidRDefault="0032051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76A08F7" w14:textId="0484541A" w:rsidR="0032051D" w:rsidRPr="001B1874" w:rsidRDefault="0032051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Approval is also needed by SMT and the Exec team.</w:t>
            </w:r>
          </w:p>
          <w:p w14:paraId="0FDB83E4" w14:textId="77777777" w:rsidR="009C218C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0" w14:textId="47C7B6B9" w:rsidR="009C218C" w:rsidRPr="001B1874" w:rsidRDefault="00F70A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Redundancy selection factors are </w:t>
            </w:r>
            <w:r w:rsidR="00951894" w:rsidRPr="001B1874">
              <w:rPr>
                <w:rFonts w:ascii="Lato" w:hAnsi="Lato"/>
                <w:sz w:val="22"/>
                <w:szCs w:val="22"/>
              </w:rPr>
              <w:t>d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isciplinary records, absence records, performance, skills, knowledge &amp; experience, and future potential &amp; flexibility, so assessment </w:t>
            </w:r>
            <w:r w:rsidR="00D47042" w:rsidRPr="001B1874">
              <w:rPr>
                <w:rFonts w:ascii="Lato" w:hAnsi="Lato"/>
                <w:sz w:val="22"/>
                <w:szCs w:val="22"/>
              </w:rPr>
              <w:t>f</w:t>
            </w:r>
            <w:r w:rsidR="001D3A20" w:rsidRPr="001B1874">
              <w:rPr>
                <w:rFonts w:ascii="Lato" w:hAnsi="Lato"/>
                <w:sz w:val="22"/>
                <w:szCs w:val="22"/>
              </w:rPr>
              <w:t xml:space="preserve">or redundancy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is made </w:t>
            </w:r>
            <w:r w:rsidR="001D3A20" w:rsidRPr="001B1874">
              <w:rPr>
                <w:rFonts w:ascii="Lato" w:hAnsi="Lato"/>
                <w:sz w:val="22"/>
                <w:szCs w:val="22"/>
              </w:rPr>
              <w:t xml:space="preserve">using </w:t>
            </w:r>
            <w:r w:rsidRPr="001B1874">
              <w:rPr>
                <w:rFonts w:ascii="Lato" w:hAnsi="Lato"/>
                <w:sz w:val="22"/>
                <w:szCs w:val="22"/>
              </w:rPr>
              <w:t>those criteria.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1" w14:textId="03552CE3" w:rsidR="00E9760D" w:rsidRPr="001B1874" w:rsidRDefault="00DC54C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92" w14:textId="09A436D2" w:rsidR="001D0425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One of </w:t>
            </w:r>
            <w:r w:rsidR="004C1D58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edundancy selection criteria is future potential, which defines </w:t>
            </w:r>
            <w:r w:rsidR="001D0425" w:rsidRPr="001B1874">
              <w:rPr>
                <w:rFonts w:ascii="Lato" w:hAnsi="Lato"/>
                <w:sz w:val="22"/>
                <w:szCs w:val="22"/>
              </w:rPr>
              <w:t>learn</w:t>
            </w:r>
            <w:r w:rsidRPr="001B1874">
              <w:rPr>
                <w:rFonts w:ascii="Lato" w:hAnsi="Lato"/>
                <w:sz w:val="22"/>
                <w:szCs w:val="22"/>
              </w:rPr>
              <w:t>ing</w:t>
            </w:r>
            <w:r w:rsidR="001D0425" w:rsidRPr="001B1874">
              <w:rPr>
                <w:rFonts w:ascii="Lato" w:hAnsi="Lato"/>
                <w:sz w:val="22"/>
                <w:szCs w:val="22"/>
              </w:rPr>
              <w:t xml:space="preserve"> new skills and knowledge and/or develop existing skills and knowledge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. </w:t>
            </w:r>
            <w:r w:rsidR="008942B2" w:rsidRPr="001B1874">
              <w:rPr>
                <w:rFonts w:ascii="Lato" w:hAnsi="Lato"/>
                <w:sz w:val="22"/>
                <w:szCs w:val="22"/>
              </w:rPr>
              <w:t>This criterion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may affect certain age group more</w:t>
            </w:r>
            <w:r w:rsidR="0041057C" w:rsidRPr="001B1874">
              <w:rPr>
                <w:rFonts w:ascii="Lato" w:hAnsi="Lato"/>
                <w:sz w:val="22"/>
                <w:szCs w:val="22"/>
              </w:rPr>
              <w:t xml:space="preserve"> than other age group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176A70" w:rsidRPr="00670940" w14:paraId="39CA6B99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670940" w:rsidRDefault="00E9760D" w:rsidP="00F72963">
            <w:pPr>
              <w:spacing w:line="276" w:lineRule="auto"/>
            </w:pPr>
            <w:r w:rsidRPr="00670940">
              <w:t>Disability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5BA33CA" w:rsidR="00E9760D" w:rsidRPr="001B1874" w:rsidRDefault="0036410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4158321B" w14:textId="167327BC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W</w:t>
            </w:r>
            <w:r w:rsidR="0036410D" w:rsidRPr="001B1874">
              <w:rPr>
                <w:rFonts w:ascii="Lato" w:hAnsi="Lato"/>
                <w:sz w:val="22"/>
                <w:szCs w:val="22"/>
              </w:rPr>
              <w:t>here possible, employees at risk of redundancy will be matched in to posts considered to be suitable alternative employment</w:t>
            </w:r>
            <w:r w:rsidR="00397EBD" w:rsidRPr="001B1874">
              <w:rPr>
                <w:rFonts w:ascii="Lato" w:hAnsi="Lato"/>
                <w:sz w:val="22"/>
                <w:szCs w:val="22"/>
              </w:rPr>
              <w:t xml:space="preserve"> or alternative employment, where suitable alternative employment is not available.  Employees with </w:t>
            </w:r>
            <w:r w:rsidR="005D2770" w:rsidRPr="001B1874">
              <w:rPr>
                <w:rFonts w:ascii="Lato" w:hAnsi="Lato"/>
                <w:sz w:val="22"/>
                <w:szCs w:val="22"/>
              </w:rPr>
              <w:t xml:space="preserve">disabilities </w:t>
            </w:r>
            <w:r w:rsidR="00900215" w:rsidRPr="001B1874">
              <w:rPr>
                <w:rFonts w:ascii="Lato" w:hAnsi="Lato"/>
                <w:sz w:val="22"/>
                <w:szCs w:val="22"/>
              </w:rPr>
              <w:t>are matched to alternative jobs before other employees.</w:t>
            </w:r>
          </w:p>
          <w:p w14:paraId="2AE62B30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6" w14:textId="1A3E229F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Any sickness absence that is </w:t>
            </w:r>
            <w:r w:rsidR="00C1371C" w:rsidRPr="001B1874">
              <w:rPr>
                <w:rFonts w:ascii="Lato" w:hAnsi="Lato"/>
                <w:sz w:val="22"/>
                <w:szCs w:val="22"/>
              </w:rPr>
              <w:t>a result of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disability</w:t>
            </w:r>
            <w:r w:rsidR="00C1371C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will not </w:t>
            </w:r>
            <w:r w:rsidR="00035369" w:rsidRPr="001B1874">
              <w:rPr>
                <w:rFonts w:ascii="Lato" w:hAnsi="Lato"/>
                <w:sz w:val="22"/>
                <w:szCs w:val="22"/>
              </w:rPr>
              <w:t>be considered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 in </w:t>
            </w:r>
            <w:r w:rsidR="00C1371C" w:rsidRPr="001B1874">
              <w:rPr>
                <w:rFonts w:ascii="Lato" w:hAnsi="Lato"/>
                <w:sz w:val="22"/>
                <w:szCs w:val="22"/>
              </w:rPr>
              <w:t>r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edundancy selection.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7" w14:textId="21EB15AF" w:rsidR="00E9760D" w:rsidRPr="001B1874" w:rsidRDefault="00DC54C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42119790" w14:textId="187AA377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Disabled employee </w:t>
            </w:r>
            <w:r w:rsidR="00C1371C" w:rsidRPr="001B1874">
              <w:rPr>
                <w:rFonts w:ascii="Lato" w:hAnsi="Lato"/>
                <w:sz w:val="22"/>
                <w:szCs w:val="22"/>
              </w:rPr>
              <w:t>may think they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have more difficulty to get alternative position </w:t>
            </w:r>
            <w:r w:rsidR="009C218C" w:rsidRPr="001B1874">
              <w:rPr>
                <w:rFonts w:ascii="Lato" w:hAnsi="Lato"/>
                <w:sz w:val="22"/>
                <w:szCs w:val="22"/>
              </w:rPr>
              <w:t xml:space="preserve">within the College </w:t>
            </w:r>
            <w:r w:rsidRPr="001B1874">
              <w:rPr>
                <w:rFonts w:ascii="Lato" w:hAnsi="Lato"/>
                <w:sz w:val="22"/>
                <w:szCs w:val="22"/>
              </w:rPr>
              <w:t>or to move to another organi</w:t>
            </w:r>
            <w:r w:rsidR="00D47042" w:rsidRPr="001B1874">
              <w:rPr>
                <w:rFonts w:ascii="Lato" w:hAnsi="Lato"/>
                <w:sz w:val="22"/>
                <w:szCs w:val="22"/>
              </w:rPr>
              <w:t>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ation. </w:t>
            </w:r>
          </w:p>
          <w:p w14:paraId="18C2F3D7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8" w14:textId="75F9FC73" w:rsidR="001D0425" w:rsidRPr="001B1874" w:rsidRDefault="009C21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They may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be nervous about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their sickness records as this is the one of criteria of </w:t>
            </w:r>
            <w:r w:rsidR="00C1371C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>edundancy selection.</w:t>
            </w:r>
          </w:p>
        </w:tc>
      </w:tr>
      <w:tr w:rsidR="00176A70" w:rsidRPr="00670940" w14:paraId="39CA6BA0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Gender reassignment</w:t>
            </w:r>
          </w:p>
          <w:p w14:paraId="39CA6B9B" w14:textId="77777777" w:rsidR="00E9760D" w:rsidRPr="00670940" w:rsidRDefault="00E9760D" w:rsidP="00F72963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698CFA5A" w:rsidR="00E9760D" w:rsidRPr="001B1874" w:rsidRDefault="0041057C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9D" w14:textId="0D7B42F5" w:rsidR="00B94D76" w:rsidRPr="001B1874" w:rsidRDefault="004105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relevant and accurate sickness information for last four years is obtained from iTrent and any irregular reason will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not be affected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for </w:t>
            </w:r>
            <w:r w:rsidR="00164420" w:rsidRPr="001B1874">
              <w:rPr>
                <w:rFonts w:ascii="Lato" w:hAnsi="Lato"/>
                <w:sz w:val="22"/>
                <w:szCs w:val="22"/>
              </w:rPr>
              <w:t xml:space="preserve">selection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scoring.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9E" w14:textId="699EC7AF" w:rsidR="00E9760D" w:rsidRPr="001B1874" w:rsidRDefault="0041057C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9F" w14:textId="55AFCC1A" w:rsidR="00E9760D" w:rsidRPr="001B1874" w:rsidRDefault="0041057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During transitional period, they may have taken more sickness absence than usual, which may impact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to </w:t>
            </w:r>
            <w:r w:rsidR="00E21C6A" w:rsidRPr="001B1874">
              <w:rPr>
                <w:rFonts w:ascii="Lato" w:hAnsi="Lato"/>
                <w:sz w:val="22"/>
                <w:szCs w:val="22"/>
              </w:rPr>
              <w:t>r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edundancy selection. </w:t>
            </w:r>
          </w:p>
        </w:tc>
      </w:tr>
      <w:tr w:rsidR="00176A70" w:rsidRPr="00670940" w14:paraId="39CA6BA6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807E8" w:rsidRPr="00670940" w:rsidRDefault="00E807E8" w:rsidP="00E807E8">
            <w:pPr>
              <w:spacing w:line="276" w:lineRule="auto"/>
            </w:pPr>
            <w:r w:rsidRPr="00670940">
              <w:t>Marriage/civil partnership (relevant in employment law)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0BEC000F" w:rsidR="00E807E8" w:rsidRPr="001B1874" w:rsidRDefault="00E807E8" w:rsidP="00E807E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A3" w14:textId="77CAF385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8C4D2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0B8C4D20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A4" w14:textId="0B8C913C" w:rsidR="00E807E8" w:rsidRPr="001B1874" w:rsidRDefault="00E807E8" w:rsidP="00E807E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A5" w14:textId="2AAC6398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B8C4D2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0B8C4D20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176A70" w:rsidRPr="00670940" w14:paraId="39CA6BAC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670940" w:rsidRDefault="00BC2C13" w:rsidP="00F72963">
            <w:pPr>
              <w:spacing w:line="276" w:lineRule="auto"/>
            </w:pPr>
            <w:r w:rsidRPr="00670940">
              <w:t>Pregnancy</w:t>
            </w:r>
            <w:r w:rsidR="00E9760D" w:rsidRPr="00670940">
              <w:t xml:space="preserve"> and Maternity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6F6927F7" w:rsidR="00E9760D" w:rsidRPr="001B1874" w:rsidRDefault="00A331E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A53C648" w14:textId="0D22263A" w:rsidR="00E9760D" w:rsidRPr="001B1874" w:rsidRDefault="00A331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College compl</w:t>
            </w:r>
            <w:r w:rsidR="00E21C6A" w:rsidRPr="001B1874">
              <w:rPr>
                <w:rFonts w:ascii="Lato" w:hAnsi="Lato"/>
                <w:sz w:val="22"/>
                <w:szCs w:val="22"/>
              </w:rPr>
              <w:t xml:space="preserve">ies with </w:t>
            </w:r>
            <w:r w:rsidRPr="001B1874">
              <w:rPr>
                <w:rFonts w:ascii="Lato" w:hAnsi="Lato"/>
                <w:sz w:val="22"/>
                <w:szCs w:val="22"/>
              </w:rPr>
              <w:t>the statutory obligation that the College give preferential treatment for pregnant employee</w:t>
            </w:r>
            <w:r w:rsidR="00A21151" w:rsidRPr="001B1874">
              <w:rPr>
                <w:rFonts w:ascii="Lato" w:hAnsi="Lato"/>
                <w:sz w:val="22"/>
                <w:szCs w:val="22"/>
              </w:rPr>
              <w:t>s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0714911A" w14:textId="77777777" w:rsidR="001D0425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A9" w14:textId="416D1B82" w:rsidR="001D0425" w:rsidRPr="001B1874" w:rsidRDefault="001D0425" w:rsidP="00A21151">
            <w:pPr>
              <w:widowControl w:val="0"/>
              <w:tabs>
                <w:tab w:val="left" w:pos="1812"/>
              </w:tabs>
              <w:autoSpaceDE w:val="0"/>
              <w:autoSpaceDN w:val="0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Any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sickness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absences</w:t>
            </w:r>
            <w:r w:rsidRPr="001B1874">
              <w:rPr>
                <w:rFonts w:ascii="Lato" w:hAnsi="Lato"/>
                <w:spacing w:val="48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which</w:t>
            </w:r>
            <w:r w:rsidRPr="001B1874">
              <w:rPr>
                <w:rFonts w:ascii="Lato" w:hAnsi="Lato"/>
                <w:spacing w:val="53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are</w:t>
            </w:r>
            <w:r w:rsidRPr="001B1874">
              <w:rPr>
                <w:rFonts w:ascii="Lato" w:hAnsi="Lato"/>
                <w:spacing w:val="51"/>
                <w:sz w:val="22"/>
                <w:szCs w:val="22"/>
              </w:rPr>
              <w:t xml:space="preserve"> </w:t>
            </w:r>
            <w:r w:rsidR="00A21151" w:rsidRPr="001B1874">
              <w:rPr>
                <w:rFonts w:ascii="Lato" w:hAnsi="Lato"/>
                <w:sz w:val="22"/>
                <w:szCs w:val="22"/>
              </w:rPr>
              <w:t>a result of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pregnancy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or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absence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on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="00A21151" w:rsidRPr="001B1874">
              <w:rPr>
                <w:rFonts w:ascii="Lato" w:hAnsi="Lato"/>
                <w:spacing w:val="-6"/>
                <w:sz w:val="22"/>
                <w:szCs w:val="22"/>
              </w:rPr>
              <w:t>maternity/</w:t>
            </w:r>
            <w:r w:rsidRPr="001B1874">
              <w:rPr>
                <w:rFonts w:ascii="Lato" w:hAnsi="Lato"/>
                <w:sz w:val="22"/>
                <w:szCs w:val="22"/>
              </w:rPr>
              <w:t>adoption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>leave</w:t>
            </w:r>
            <w:r w:rsidR="0041057C" w:rsidRPr="001B1874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="00002B13" w:rsidRPr="2D695833">
              <w:rPr>
                <w:rFonts w:ascii="Lato" w:hAnsi="Lato"/>
                <w:spacing w:val="-2"/>
                <w:sz w:val="22"/>
                <w:szCs w:val="22"/>
              </w:rPr>
              <w:t>will not</w:t>
            </w:r>
            <w:r w:rsidR="00002B13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="0041057C" w:rsidRPr="001B1874">
              <w:rPr>
                <w:rFonts w:ascii="Lato" w:hAnsi="Lato"/>
                <w:spacing w:val="-2"/>
                <w:sz w:val="22"/>
                <w:szCs w:val="22"/>
              </w:rPr>
              <w:t xml:space="preserve">be </w:t>
            </w:r>
            <w:r w:rsidR="00A21151" w:rsidRPr="001B1874">
              <w:rPr>
                <w:rFonts w:ascii="Lato" w:hAnsi="Lato"/>
                <w:spacing w:val="-2"/>
                <w:sz w:val="22"/>
                <w:szCs w:val="22"/>
              </w:rPr>
              <w:t xml:space="preserve">counted in the scoring for sickness absence.  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AA" w14:textId="2A405237" w:rsidR="00E9760D" w:rsidRPr="001B1874" w:rsidRDefault="00A331E6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AB" w14:textId="36BED78F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Pregnant employees or </w:t>
            </w:r>
            <w:r w:rsidR="00A21151" w:rsidRPr="001B1874">
              <w:rPr>
                <w:rFonts w:ascii="Lato" w:hAnsi="Lato"/>
                <w:sz w:val="22"/>
                <w:szCs w:val="22"/>
              </w:rPr>
              <w:t>m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aternity </w:t>
            </w:r>
            <w:r w:rsidR="00164420" w:rsidRPr="001B1874">
              <w:rPr>
                <w:rFonts w:ascii="Lato" w:hAnsi="Lato"/>
                <w:sz w:val="22"/>
                <w:szCs w:val="22"/>
              </w:rPr>
              <w:t>returners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may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fear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that they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think they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are more </w:t>
            </w:r>
            <w:r w:rsidR="006F35E2" w:rsidRPr="001B1874">
              <w:rPr>
                <w:rFonts w:ascii="Lato" w:hAnsi="Lato"/>
                <w:sz w:val="22"/>
                <w:szCs w:val="22"/>
              </w:rPr>
              <w:t>likely to be selected to re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dundancy </w:t>
            </w:r>
            <w:r w:rsidR="006F35E2" w:rsidRPr="001B1874">
              <w:rPr>
                <w:rFonts w:ascii="Lato" w:hAnsi="Lato"/>
                <w:sz w:val="22"/>
                <w:szCs w:val="22"/>
              </w:rPr>
              <w:t>than other employees.</w:t>
            </w:r>
          </w:p>
        </w:tc>
      </w:tr>
      <w:tr w:rsidR="00176A70" w:rsidRPr="00670940" w14:paraId="39CA6BB2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670940" w:rsidRDefault="00E9760D" w:rsidP="00F72963">
            <w:pPr>
              <w:spacing w:line="276" w:lineRule="auto"/>
            </w:pPr>
            <w:r w:rsidRPr="00670940">
              <w:t>Race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64F482B2" w:rsidR="00E9760D" w:rsidRPr="001B1874" w:rsidRDefault="001E03B2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1901B822" w14:textId="77777777" w:rsidR="00E9760D" w:rsidRPr="001B1874" w:rsidRDefault="00A91ED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procedure ensure that </w:t>
            </w:r>
            <w:r w:rsidR="006A5E66" w:rsidRPr="001B1874">
              <w:rPr>
                <w:rFonts w:ascii="Lato" w:hAnsi="Lato"/>
                <w:sz w:val="22"/>
                <w:szCs w:val="22"/>
              </w:rPr>
              <w:t>no employee is unfairly disadvantaged.</w:t>
            </w:r>
          </w:p>
          <w:p w14:paraId="39CA6BAF" w14:textId="69A9251D" w:rsidR="006A5E66" w:rsidRPr="001B1874" w:rsidRDefault="006A5E6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0" w14:textId="45E13AC6" w:rsidR="00E9760D" w:rsidRPr="001B1874" w:rsidRDefault="001E03B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1" w14:textId="236868DE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Due to different culture or different social environments of their upbringing,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852CD8" w:rsidRPr="001B1874">
              <w:rPr>
                <w:rFonts w:ascii="Lato" w:hAnsi="Lato"/>
                <w:sz w:val="22"/>
                <w:szCs w:val="22"/>
              </w:rPr>
              <w:t>their approach for changes may not be same as other employees.</w:t>
            </w:r>
            <w:r w:rsidR="00A91ED3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176A70" w:rsidRPr="00670940" w14:paraId="39CA6BB8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670940" w:rsidRDefault="00E9760D" w:rsidP="00F72963">
            <w:pPr>
              <w:spacing w:line="276" w:lineRule="auto"/>
            </w:pPr>
            <w:r w:rsidRPr="00670940">
              <w:t>Religion or belief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49A46730" w:rsidR="00E9760D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448C46F6" w14:textId="77777777" w:rsidR="006A5E66" w:rsidRPr="001B1874" w:rsidRDefault="006A5E66" w:rsidP="006A5E6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procedure ensure that no employee is unfairly disadvantaged.</w:t>
            </w:r>
          </w:p>
          <w:p w14:paraId="39CA6BB5" w14:textId="77777777" w:rsidR="00E9760D" w:rsidRPr="001B1874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6" w14:textId="21DBBCB2" w:rsidR="00E9760D" w:rsidRPr="001B1874" w:rsidRDefault="001E03B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7" w14:textId="28447859" w:rsidR="00E9760D" w:rsidRPr="001B1874" w:rsidRDefault="001E03B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Due to their religion or belief, </w:t>
            </w:r>
            <w:r w:rsidR="004F6FBD" w:rsidRPr="001B1874">
              <w:rPr>
                <w:rFonts w:ascii="Lato" w:hAnsi="Lato"/>
                <w:sz w:val="22"/>
                <w:szCs w:val="22"/>
              </w:rPr>
              <w:t>f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lexibility, </w:t>
            </w:r>
            <w:r w:rsidR="00A91ED3" w:rsidRPr="001B1874">
              <w:rPr>
                <w:rFonts w:ascii="Lato" w:hAnsi="Lato"/>
                <w:sz w:val="22"/>
                <w:szCs w:val="22"/>
              </w:rPr>
              <w:t>willing to be flexible whenever they reasonably can be</w:t>
            </w:r>
            <w:r w:rsidR="006A5E66" w:rsidRPr="001B1874">
              <w:rPr>
                <w:rFonts w:ascii="Lato" w:hAnsi="Lato"/>
                <w:sz w:val="22"/>
                <w:szCs w:val="22"/>
              </w:rPr>
              <w:t>,</w:t>
            </w:r>
            <w:r w:rsidR="00A91ED3" w:rsidRPr="001B1874">
              <w:rPr>
                <w:rFonts w:ascii="Lato" w:hAnsi="Lato"/>
                <w:sz w:val="22"/>
                <w:szCs w:val="22"/>
              </w:rPr>
              <w:t xml:space="preserve"> may be 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less </w:t>
            </w:r>
            <w:r w:rsidR="00A91ED3" w:rsidRPr="001B1874">
              <w:rPr>
                <w:rFonts w:ascii="Lato" w:hAnsi="Lato"/>
                <w:sz w:val="22"/>
                <w:szCs w:val="22"/>
              </w:rPr>
              <w:t>easy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for </w:t>
            </w:r>
            <w:r w:rsidR="004F6FBD" w:rsidRPr="001B1874">
              <w:rPr>
                <w:rFonts w:ascii="Lato" w:hAnsi="Lato"/>
                <w:sz w:val="22"/>
                <w:szCs w:val="22"/>
              </w:rPr>
              <w:t>some</w:t>
            </w:r>
            <w:r w:rsidR="006A5E66" w:rsidRPr="001B1874">
              <w:rPr>
                <w:rFonts w:ascii="Lato" w:hAnsi="Lato"/>
                <w:sz w:val="22"/>
                <w:szCs w:val="22"/>
              </w:rPr>
              <w:t xml:space="preserve"> employees</w:t>
            </w:r>
            <w:r w:rsidR="00A91ED3"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176A70" w:rsidRPr="00670940" w14:paraId="39CA6BBE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Sex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1AC0C7A1" w:rsidR="00E9760D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155" w:type="dxa"/>
            <w:shd w:val="clear" w:color="auto" w:fill="FFFFFF" w:themeFill="background1"/>
          </w:tcPr>
          <w:p w14:paraId="614F843F" w14:textId="77777777" w:rsidR="00A7392A" w:rsidRPr="001B1874" w:rsidRDefault="00A7392A" w:rsidP="00A7392A">
            <w:pPr>
              <w:pStyle w:val="TableParagraph"/>
              <w:rPr>
                <w:rFonts w:ascii="Lato" w:hAnsi="Lato"/>
              </w:rPr>
            </w:pPr>
            <w:r w:rsidRPr="001B1874">
              <w:rPr>
                <w:rFonts w:ascii="Lato" w:hAnsi="Lato"/>
              </w:rPr>
              <w:t>The College will ensure that all employees will be able to access support regardless of their sex or gender.</w:t>
            </w:r>
          </w:p>
          <w:p w14:paraId="39CA6BBB" w14:textId="77777777" w:rsidR="00E9760D" w:rsidRPr="001B1874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14:paraId="39CA6BBC" w14:textId="419A76A7" w:rsidR="00E9760D" w:rsidRPr="001B1874" w:rsidRDefault="00A91ED3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BD" w14:textId="58E5FDA6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Due to </w:t>
            </w:r>
            <w:r w:rsidR="00332FCB" w:rsidRPr="001B1874">
              <w:rPr>
                <w:rFonts w:ascii="Lato" w:hAnsi="Lato"/>
                <w:sz w:val="22"/>
                <w:szCs w:val="22"/>
              </w:rPr>
              <w:t xml:space="preserve">organisational change, </w:t>
            </w:r>
            <w:r w:rsidRPr="3F10AE84">
              <w:rPr>
                <w:rFonts w:ascii="Lato" w:hAnsi="Lato"/>
                <w:sz w:val="22"/>
                <w:szCs w:val="22"/>
              </w:rPr>
              <w:t xml:space="preserve">employees’ </w:t>
            </w:r>
            <w:r w:rsidR="00332FCB" w:rsidRPr="3F10AE84">
              <w:rPr>
                <w:rFonts w:ascii="Lato" w:hAnsi="Lato"/>
                <w:sz w:val="22"/>
                <w:szCs w:val="22"/>
              </w:rPr>
              <w:t>mental health may be</w:t>
            </w:r>
            <w:r w:rsidRPr="3F10AE84">
              <w:rPr>
                <w:rFonts w:ascii="Lato" w:hAnsi="Lato"/>
                <w:sz w:val="22"/>
                <w:szCs w:val="22"/>
              </w:rPr>
              <w:t xml:space="preserve">come </w:t>
            </w:r>
            <w:r w:rsidR="00002B13" w:rsidRPr="3F10AE84">
              <w:rPr>
                <w:rFonts w:ascii="Lato" w:hAnsi="Lato"/>
                <w:sz w:val="22"/>
                <w:szCs w:val="22"/>
              </w:rPr>
              <w:t>poor</w:t>
            </w:r>
            <w:r w:rsidRPr="3F10AE84">
              <w:rPr>
                <w:rFonts w:ascii="Lato" w:hAnsi="Lato"/>
                <w:sz w:val="22"/>
                <w:szCs w:val="22"/>
              </w:rPr>
              <w:t>.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002B13" w:rsidRPr="3F10AE84">
              <w:rPr>
                <w:rFonts w:ascii="Lato" w:hAnsi="Lato"/>
                <w:sz w:val="22"/>
                <w:szCs w:val="22"/>
              </w:rPr>
              <w:t>I</w:t>
            </w:r>
            <w:r w:rsidRPr="3F10AE84">
              <w:rPr>
                <w:rFonts w:ascii="Lato" w:hAnsi="Lato"/>
                <w:sz w:val="22"/>
                <w:szCs w:val="22"/>
              </w:rPr>
              <w:t>n general</w:t>
            </w:r>
            <w:r w:rsidRPr="001B1874">
              <w:rPr>
                <w:rFonts w:ascii="Lato" w:hAnsi="Lato"/>
                <w:sz w:val="22"/>
                <w:szCs w:val="22"/>
              </w:rPr>
              <w:t>, male employees are less likely to seek wellbeing and counselling support when needed.</w:t>
            </w:r>
            <w:r w:rsidR="00002B13">
              <w:rPr>
                <w:rFonts w:ascii="Lato" w:hAnsi="Lato"/>
                <w:sz w:val="22"/>
                <w:szCs w:val="22"/>
              </w:rPr>
              <w:t xml:space="preserve"> </w:t>
            </w:r>
            <w:r w:rsidR="00002B13" w:rsidRPr="3F10AE84">
              <w:rPr>
                <w:rFonts w:ascii="Lato" w:hAnsi="Lato"/>
                <w:sz w:val="22"/>
                <w:szCs w:val="22"/>
              </w:rPr>
              <w:t>Promotion of mental health support among male employees is essential.</w:t>
            </w:r>
          </w:p>
        </w:tc>
      </w:tr>
      <w:tr w:rsidR="00176A70" w:rsidRPr="00670940" w14:paraId="39CA6BC4" w14:textId="77777777" w:rsidTr="527843A1">
        <w:trPr>
          <w:trHeight w:val="794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807E8" w:rsidRPr="00670940" w:rsidRDefault="00E807E8" w:rsidP="00E807E8">
            <w:pPr>
              <w:spacing w:line="276" w:lineRule="auto"/>
            </w:pPr>
            <w:r w:rsidRPr="00670940">
              <w:t>Sexual orientation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3DAD177D" w:rsidR="00E807E8" w:rsidRPr="001B1874" w:rsidRDefault="00E807E8" w:rsidP="00E807E8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5" w:type="dxa"/>
            <w:shd w:val="clear" w:color="auto" w:fill="FFFFFF" w:themeFill="background1"/>
          </w:tcPr>
          <w:p w14:paraId="39CA6BC1" w14:textId="346ADBDF" w:rsidR="00E807E8" w:rsidRPr="001B1874" w:rsidRDefault="00E807E8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56CEBF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656CEBF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FFFFFF" w:themeFill="background1"/>
          </w:tcPr>
          <w:p w14:paraId="39CA6BC2" w14:textId="4619ECDD" w:rsidR="00E807E8" w:rsidRPr="001B1874" w:rsidRDefault="00E807E8" w:rsidP="00E807E8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9" w:type="dxa"/>
            <w:shd w:val="clear" w:color="auto" w:fill="FFFFFF" w:themeFill="background1"/>
          </w:tcPr>
          <w:p w14:paraId="39CA6BC3" w14:textId="2F4FBB59" w:rsidR="00E807E8" w:rsidRPr="001B1874" w:rsidRDefault="66D3246D" w:rsidP="00E807E8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2D3E0571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Due to </w:t>
            </w:r>
            <w:r w:rsidRPr="0690C9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the different </w:t>
            </w:r>
            <w:r w:rsidRPr="3E4A410A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social </w:t>
            </w:r>
            <w:r w:rsidRPr="6AAE1E5C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environment </w:t>
            </w:r>
            <w:r w:rsidRPr="74277AC5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of </w:t>
            </w:r>
            <w:r w:rsidRPr="147F8AD0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their </w:t>
            </w:r>
            <w:r w:rsidRPr="4B10A6BD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upbringing</w:t>
            </w:r>
            <w:r w:rsidRPr="4906C4D3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, </w:t>
            </w:r>
            <w:r w:rsidR="0862A62E" w:rsidRPr="0C1DD398">
              <w:rPr>
                <w:rFonts w:ascii="Lato" w:hAnsi="Lato"/>
                <w:sz w:val="22"/>
                <w:szCs w:val="22"/>
              </w:rPr>
              <w:t xml:space="preserve">their </w:t>
            </w:r>
            <w:r w:rsidR="5B6DC604" w:rsidRPr="0C1DD398">
              <w:rPr>
                <w:rFonts w:ascii="Lato" w:hAnsi="Lato"/>
                <w:sz w:val="22"/>
                <w:szCs w:val="22"/>
              </w:rPr>
              <w:t xml:space="preserve">approach for </w:t>
            </w:r>
            <w:r w:rsidR="0862A62E" w:rsidRPr="0C1DD398">
              <w:rPr>
                <w:rFonts w:ascii="Lato" w:hAnsi="Lato"/>
                <w:sz w:val="22"/>
                <w:szCs w:val="22"/>
              </w:rPr>
              <w:t>changes</w:t>
            </w:r>
            <w:r w:rsidR="5B6DC604" w:rsidRPr="0C1DD398">
              <w:rPr>
                <w:rFonts w:ascii="Lato" w:hAnsi="Lato"/>
                <w:sz w:val="22"/>
                <w:szCs w:val="22"/>
              </w:rPr>
              <w:t xml:space="preserve"> may </w:t>
            </w:r>
            <w:r w:rsidR="0862A62E" w:rsidRPr="0C1DD398">
              <w:rPr>
                <w:rFonts w:ascii="Lato" w:hAnsi="Lato"/>
                <w:sz w:val="22"/>
                <w:szCs w:val="22"/>
              </w:rPr>
              <w:t>not be same as other</w:t>
            </w:r>
            <w:r w:rsidR="00E807E8" w:rsidRPr="26EA3309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 xml:space="preserve"> </w:t>
            </w:r>
            <w:r w:rsidR="0862A62E" w:rsidRPr="75C967F6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employees</w:t>
            </w:r>
            <w:r w:rsidR="00E807E8" w:rsidRPr="26EA3309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.</w:t>
            </w:r>
            <w:r w:rsidR="00E807E8" w:rsidRPr="26EA3309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Default="003E0686" w:rsidP="00F72963">
      <w:pPr>
        <w:spacing w:after="0"/>
      </w:pPr>
    </w:p>
    <w:p w14:paraId="5CA2B0F9" w14:textId="77777777" w:rsidR="00073106" w:rsidRPr="00670940" w:rsidRDefault="00073106" w:rsidP="00F72963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670940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Other</w:t>
            </w:r>
          </w:p>
          <w:p w14:paraId="16F0808B" w14:textId="7C6C274F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characteristic</w:t>
            </w:r>
          </w:p>
          <w:p w14:paraId="721D21B7" w14:textId="1A45775D" w:rsidR="003E0686" w:rsidRPr="00670940" w:rsidRDefault="003E0686" w:rsidP="00777B45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62A355AD" w14:textId="056AA2D8" w:rsidR="003E0686" w:rsidRPr="00670940" w:rsidRDefault="003E0686" w:rsidP="00777B45">
            <w:pPr>
              <w:pStyle w:val="NoSpacing"/>
              <w:spacing w:line="276" w:lineRule="auto"/>
              <w:jc w:val="center"/>
            </w:pPr>
            <w:r w:rsidRPr="00670940"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777B45" w:rsidRDefault="003E0686" w:rsidP="00F72963">
            <w:pPr>
              <w:spacing w:line="276" w:lineRule="auto"/>
              <w:jc w:val="center"/>
              <w:rPr>
                <w:szCs w:val="20"/>
              </w:rPr>
            </w:pPr>
            <w:r w:rsidRPr="00670940"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Negative Impact</w:t>
            </w:r>
          </w:p>
        </w:tc>
      </w:tr>
      <w:tr w:rsidR="003E0686" w:rsidRPr="00670940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670940" w:rsidRDefault="003E0686" w:rsidP="00F72963">
            <w:pPr>
              <w:spacing w:line="276" w:lineRule="auto"/>
            </w:pPr>
            <w:r w:rsidRPr="00670940">
              <w:t>Social deprivation</w:t>
            </w:r>
          </w:p>
          <w:p w14:paraId="39CA6BC6" w14:textId="09CAE40A" w:rsidR="003E0686" w:rsidRPr="00670940" w:rsidRDefault="003E0686" w:rsidP="00F72963">
            <w:pPr>
              <w:spacing w:line="276" w:lineRule="auto"/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6B15D73D" w:rsidR="003E0686" w:rsidRPr="001B1874" w:rsidRDefault="00A331E6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4495019E" w:rsidR="003E0686" w:rsidRPr="001B1874" w:rsidRDefault="00A331E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Employees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who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are,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context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potential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redundancy,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redeployed</w:t>
            </w:r>
            <w:r w:rsidRPr="001B1874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into</w:t>
            </w:r>
            <w:r w:rsidRPr="001B1874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 post on a grade with a lower salary than their current salary, will receive salary protection</w:t>
            </w:r>
            <w:r w:rsidRPr="001B1874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for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a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period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four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years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from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effective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date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of</w:t>
            </w:r>
            <w:r w:rsidRPr="001B1874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the</w:t>
            </w:r>
            <w:r w:rsidRPr="001B1874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1B1874">
              <w:rPr>
                <w:rFonts w:ascii="Lato" w:hAnsi="Lato"/>
                <w:sz w:val="22"/>
                <w:szCs w:val="22"/>
              </w:rPr>
              <w:t>change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1A20381C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5A5AF21B" w:rsidR="003E0686" w:rsidRPr="001B1874" w:rsidRDefault="00852CD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They may have 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already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had financial difficulty so possible redeployment may make them </w:t>
            </w:r>
            <w:r w:rsidR="00A7392A" w:rsidRPr="001B1874">
              <w:rPr>
                <w:rFonts w:ascii="Lato" w:hAnsi="Lato"/>
                <w:sz w:val="22"/>
                <w:szCs w:val="22"/>
              </w:rPr>
              <w:t xml:space="preserve">more </w:t>
            </w:r>
            <w:r w:rsidR="00002B13" w:rsidRPr="49103BCD">
              <w:rPr>
                <w:rFonts w:ascii="Lato" w:hAnsi="Lato"/>
                <w:sz w:val="22"/>
                <w:szCs w:val="22"/>
              </w:rPr>
              <w:t>financially i</w:t>
            </w:r>
            <w:r w:rsidRPr="49103BCD">
              <w:rPr>
                <w:rFonts w:ascii="Lato" w:hAnsi="Lato"/>
                <w:sz w:val="22"/>
                <w:szCs w:val="22"/>
              </w:rPr>
              <w:t>nsecure</w:t>
            </w:r>
            <w:r w:rsidRPr="001B1874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3E0686" w:rsidRPr="00A7392A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670940" w:rsidRDefault="003E0686" w:rsidP="00F72963">
            <w:pPr>
              <w:spacing w:line="276" w:lineRule="auto"/>
            </w:pPr>
            <w:r w:rsidRPr="00670940"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06C54F06" w:rsidR="003E0686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3C59DA8D" w:rsidR="003E0686" w:rsidRPr="001B1874" w:rsidRDefault="00332FCB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assessment panel will take account of the employee’s personal circumstances where they are known to impact on their ability to be flexible.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728C6FCC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1FAEF604" w:rsidR="003E0686" w:rsidRPr="001B1874" w:rsidRDefault="00852CD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Due to their potential disruptive upbringing, e.g. constant changes of homes etc, they may be more vulnerable for the change than others.</w:t>
            </w:r>
          </w:p>
        </w:tc>
      </w:tr>
      <w:tr w:rsidR="003E0686" w:rsidRPr="00670940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670940" w:rsidRDefault="003E0686" w:rsidP="00F72963">
            <w:pPr>
              <w:spacing w:line="276" w:lineRule="auto"/>
            </w:pPr>
            <w:r w:rsidRPr="00670940"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412BFA97" w:rsidR="003E0686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56241AE3" w:rsidR="003E0686" w:rsidRPr="001B1874" w:rsidRDefault="001D042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The assessment panel will take account of the employee’s personal circumstances where they are known to impact on their ability to be flexible.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93D8BC0" w:rsidR="003E0686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7C370C4D" w:rsidR="003E0686" w:rsidRPr="001B1874" w:rsidRDefault="00CD471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Their work-life balance is </w:t>
            </w:r>
            <w:r w:rsidR="00852CD8" w:rsidRPr="001B1874">
              <w:rPr>
                <w:rFonts w:ascii="Lato" w:hAnsi="Lato"/>
                <w:sz w:val="22"/>
                <w:szCs w:val="22"/>
              </w:rPr>
              <w:t>already tougher than other employees so they may be more vulnerable for any changes.</w:t>
            </w:r>
          </w:p>
        </w:tc>
      </w:tr>
      <w:tr w:rsidR="006E0572" w:rsidRPr="00670940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670940" w:rsidRDefault="006E0572" w:rsidP="00073106">
            <w:pPr>
              <w:spacing w:line="276" w:lineRule="auto"/>
            </w:pPr>
            <w:r w:rsidRPr="00670940"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5FD295BD" w:rsidR="006E0572" w:rsidRPr="001B1874" w:rsidRDefault="00A91ED3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6E0572" w:rsidRPr="001B1874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662078A1" w:rsidR="006E0572" w:rsidRPr="001B1874" w:rsidRDefault="00A91ED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E0572" w:rsidRPr="001B1874" w:rsidRDefault="006E057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Default="00F72963" w:rsidP="00F72963">
      <w:pPr>
        <w:tabs>
          <w:tab w:val="left" w:pos="13404"/>
        </w:tabs>
        <w:spacing w:after="0"/>
        <w:rPr>
          <w:b/>
        </w:rPr>
      </w:pPr>
    </w:p>
    <w:p w14:paraId="70F84BEA" w14:textId="77777777" w:rsidR="00FB7135" w:rsidRDefault="00FB7135">
      <w:pPr>
        <w:rPr>
          <w:b/>
        </w:rPr>
      </w:pPr>
      <w:r>
        <w:rPr>
          <w:b/>
        </w:rPr>
        <w:br w:type="page"/>
      </w:r>
    </w:p>
    <w:p w14:paraId="39CA6BD9" w14:textId="32E40749" w:rsidR="00106EAB" w:rsidRPr="00670940" w:rsidRDefault="00F154F9" w:rsidP="00F72963">
      <w:pPr>
        <w:tabs>
          <w:tab w:val="left" w:pos="13404"/>
        </w:tabs>
        <w:spacing w:after="0"/>
        <w:rPr>
          <w:b/>
        </w:rPr>
      </w:pPr>
      <w:r w:rsidRPr="00670940">
        <w:rPr>
          <w:b/>
        </w:rPr>
        <w:lastRenderedPageBreak/>
        <w:t>Step</w:t>
      </w:r>
      <w:r w:rsidR="00C91BE9" w:rsidRPr="00670940">
        <w:rPr>
          <w:b/>
        </w:rPr>
        <w:t xml:space="preserve"> </w:t>
      </w:r>
      <w:r w:rsidR="003E0686" w:rsidRPr="00670940">
        <w:rPr>
          <w:b/>
        </w:rPr>
        <w:t>4</w:t>
      </w:r>
      <w:r w:rsidR="00850631" w:rsidRPr="00670940">
        <w:rPr>
          <w:b/>
        </w:rPr>
        <w:t xml:space="preserve"> – Actin</w:t>
      </w:r>
      <w:r w:rsidR="00F7144E" w:rsidRPr="00670940">
        <w:rPr>
          <w:b/>
        </w:rPr>
        <w:t>g on</w:t>
      </w:r>
      <w:r w:rsidR="00850631" w:rsidRPr="00670940">
        <w:rPr>
          <w:b/>
        </w:rPr>
        <w:t xml:space="preserve"> the results of the assessment</w:t>
      </w:r>
      <w:r w:rsidR="00106EAB" w:rsidRPr="00670940">
        <w:rPr>
          <w:b/>
        </w:rPr>
        <w:t>.</w:t>
      </w:r>
      <w:r w:rsidR="00106EAB" w:rsidRPr="00670940">
        <w:rPr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A7392A" w:rsidRPr="00670940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What actions can be taken or amendments made to policy to reduce the negative impact?</w:t>
            </w:r>
          </w:p>
          <w:p w14:paraId="39CA6BDC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56677EB9" w14:textId="3E81CB75" w:rsidR="00A7392A" w:rsidRPr="001B1874" w:rsidRDefault="00A7392A" w:rsidP="00A7392A">
            <w:pPr>
              <w:widowControl w:val="0"/>
              <w:tabs>
                <w:tab w:val="left" w:pos="1540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Clear messages communicated to employees, managers and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trade union representatives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in affected area </w:t>
            </w:r>
            <w:r w:rsidR="006F35E2" w:rsidRPr="001B1874">
              <w:rPr>
                <w:rFonts w:ascii="Lato" w:hAnsi="Lato"/>
                <w:sz w:val="22"/>
                <w:szCs w:val="22"/>
              </w:rPr>
              <w:t>what</w:t>
            </w:r>
            <w:r w:rsidR="00C831BB" w:rsidRPr="001B1874">
              <w:rPr>
                <w:rFonts w:ascii="Lato" w:hAnsi="Lato"/>
                <w:sz w:val="22"/>
                <w:szCs w:val="22"/>
              </w:rPr>
              <w:t>’s</w:t>
            </w:r>
            <w:r w:rsidR="006F35E2" w:rsidRPr="001B1874">
              <w:rPr>
                <w:rFonts w:ascii="Lato" w:hAnsi="Lato"/>
                <w:sz w:val="22"/>
                <w:szCs w:val="22"/>
              </w:rPr>
              <w:t xml:space="preserve"> happening next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so that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they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can be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fully aware of the processes. HR and managers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will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prepare additional support for employees who require further assistance. </w:t>
            </w:r>
          </w:p>
          <w:p w14:paraId="5B757285" w14:textId="77777777" w:rsidR="00A7392A" w:rsidRPr="001B1874" w:rsidRDefault="00A7392A" w:rsidP="00A7392A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43B7470F" w14:textId="32090711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Ensure managers are trained in the implementation of this procedure so they can take relevant action in timely manner</w:t>
            </w:r>
            <w:r w:rsidR="00F963C4"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692DF61E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347DDC7" w14:textId="42B5B15C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HR will encourage all employees to fill in and update their sensitive information in iTrent so that we can capture an accurate information and can act proactively to </w:t>
            </w:r>
            <w:r w:rsidR="00F963C4" w:rsidRPr="001B1874">
              <w:rPr>
                <w:rFonts w:ascii="Lato" w:hAnsi="Lato"/>
                <w:sz w:val="22"/>
                <w:szCs w:val="22"/>
              </w:rPr>
              <w:t>prepare organisational changes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 and go smoothly</w:t>
            </w:r>
            <w:r w:rsidR="00F963C4" w:rsidRPr="001B1874">
              <w:rPr>
                <w:rFonts w:ascii="Lato" w:hAnsi="Lato"/>
                <w:sz w:val="22"/>
                <w:szCs w:val="22"/>
              </w:rPr>
              <w:t>.</w:t>
            </w:r>
          </w:p>
          <w:p w14:paraId="39CA6BDD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A7392A" w:rsidRPr="00670940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705D114D" w14:textId="133C94FD" w:rsidR="00A7392A" w:rsidRPr="001B1874" w:rsidRDefault="00A7392A" w:rsidP="00A7392A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Going forward HR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will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monitor </w:t>
            </w:r>
            <w:r w:rsidR="00C831BB" w:rsidRPr="001B1874">
              <w:rPr>
                <w:rFonts w:ascii="Lato" w:hAnsi="Lato"/>
                <w:sz w:val="22"/>
                <w:szCs w:val="22"/>
              </w:rPr>
              <w:t xml:space="preserve">outcomes of 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the protected characteristics </w:t>
            </w:r>
            <w:r w:rsidR="00C831BB" w:rsidRPr="001B1874">
              <w:rPr>
                <w:rFonts w:ascii="Lato" w:hAnsi="Lato"/>
                <w:sz w:val="22"/>
                <w:szCs w:val="22"/>
              </w:rPr>
              <w:t>o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f those employees who are affected </w:t>
            </w:r>
            <w:r w:rsidR="00F963C4" w:rsidRPr="001B1874">
              <w:rPr>
                <w:rFonts w:ascii="Lato" w:hAnsi="Lato"/>
                <w:sz w:val="22"/>
                <w:szCs w:val="22"/>
              </w:rPr>
              <w:t>by organisational changes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, and review and identify if particular groups are </w:t>
            </w:r>
            <w:r w:rsidR="00F963C4" w:rsidRPr="001B1874">
              <w:rPr>
                <w:rFonts w:ascii="Lato" w:hAnsi="Lato"/>
                <w:sz w:val="22"/>
                <w:szCs w:val="22"/>
              </w:rPr>
              <w:t xml:space="preserve">selected redundancy </w:t>
            </w:r>
            <w:r w:rsidRPr="001B1874">
              <w:rPr>
                <w:rFonts w:ascii="Lato" w:hAnsi="Lato"/>
                <w:sz w:val="22"/>
                <w:szCs w:val="22"/>
              </w:rPr>
              <w:t>process disproportionally.</w:t>
            </w:r>
          </w:p>
          <w:p w14:paraId="3A89F81B" w14:textId="77777777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E0" w14:textId="101276E9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Working closely with HR Partners who deal </w:t>
            </w:r>
            <w:r w:rsidR="0086155B" w:rsidRPr="001B1874">
              <w:rPr>
                <w:rFonts w:ascii="Lato" w:hAnsi="Lato"/>
                <w:sz w:val="22"/>
                <w:szCs w:val="22"/>
              </w:rPr>
              <w:t>o</w:t>
            </w:r>
            <w:r w:rsidR="00D7439B" w:rsidRPr="001B1874">
              <w:rPr>
                <w:rFonts w:ascii="Lato" w:hAnsi="Lato"/>
                <w:sz w:val="22"/>
                <w:szCs w:val="22"/>
              </w:rPr>
              <w:t>rganisation</w:t>
            </w:r>
            <w:r w:rsidR="0086155B"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D7439B" w:rsidRPr="001B1874">
              <w:rPr>
                <w:rFonts w:ascii="Lato" w:hAnsi="Lato"/>
                <w:sz w:val="22"/>
                <w:szCs w:val="22"/>
              </w:rPr>
              <w:t>changes with managers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to </w:t>
            </w:r>
            <w:r w:rsidR="00FB06DB" w:rsidRPr="001B1874">
              <w:rPr>
                <w:rFonts w:ascii="Lato" w:hAnsi="Lato"/>
                <w:sz w:val="22"/>
                <w:szCs w:val="22"/>
              </w:rPr>
              <w:t>log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</w:t>
            </w:r>
            <w:r w:rsidR="00D7439B" w:rsidRPr="001B1874">
              <w:rPr>
                <w:rFonts w:ascii="Lato" w:hAnsi="Lato"/>
                <w:sz w:val="22"/>
                <w:szCs w:val="22"/>
              </w:rPr>
              <w:t xml:space="preserve">if there are </w:t>
            </w:r>
            <w:r w:rsidRPr="001B1874">
              <w:rPr>
                <w:rFonts w:ascii="Lato" w:hAnsi="Lato"/>
                <w:sz w:val="22"/>
                <w:szCs w:val="22"/>
              </w:rPr>
              <w:t>any specific issues arisen related to the employees with protected character</w:t>
            </w:r>
            <w:r w:rsidR="00D7439B" w:rsidRPr="001B1874">
              <w:rPr>
                <w:rFonts w:ascii="Lato" w:hAnsi="Lato"/>
                <w:sz w:val="22"/>
                <w:szCs w:val="22"/>
              </w:rPr>
              <w:t xml:space="preserve"> during the process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.   </w:t>
            </w:r>
          </w:p>
        </w:tc>
      </w:tr>
      <w:tr w:rsidR="00A7392A" w:rsidRPr="00670940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6A51D454" w14:textId="1B388FAD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The purpose of this </w:t>
            </w:r>
            <w:r w:rsidR="00D7439B" w:rsidRPr="001B1874">
              <w:rPr>
                <w:rFonts w:ascii="Lato" w:hAnsi="Lato"/>
                <w:sz w:val="22"/>
                <w:szCs w:val="22"/>
              </w:rPr>
              <w:t>procedure is</w:t>
            </w:r>
            <w:r w:rsidRPr="001B1874">
              <w:rPr>
                <w:rFonts w:ascii="Lato" w:hAnsi="Lato"/>
                <w:sz w:val="22"/>
                <w:szCs w:val="22"/>
              </w:rPr>
              <w:t xml:space="preserve"> to provide a non-discriminatory, fair and timely process for the management of </w:t>
            </w:r>
            <w:r w:rsidR="00FB06DB" w:rsidRPr="001B1874">
              <w:rPr>
                <w:rFonts w:ascii="Lato" w:hAnsi="Lato"/>
                <w:sz w:val="22"/>
                <w:szCs w:val="22"/>
              </w:rPr>
              <w:t>organisation change</w:t>
            </w:r>
            <w:r w:rsidR="008C7C64" w:rsidRPr="001B1874">
              <w:rPr>
                <w:rFonts w:ascii="Lato" w:hAnsi="Lato"/>
                <w:sz w:val="22"/>
                <w:szCs w:val="22"/>
              </w:rPr>
              <w:t xml:space="preserve"> at </w:t>
            </w:r>
            <w:r w:rsidRPr="001B1874">
              <w:rPr>
                <w:rFonts w:ascii="Lato" w:hAnsi="Lato"/>
                <w:sz w:val="22"/>
                <w:szCs w:val="22"/>
              </w:rPr>
              <w:t>the College. In addition to this, understanding and awareness of the behaviours and actions of employees with protected character is crucial.</w:t>
            </w:r>
          </w:p>
          <w:p w14:paraId="4B2008B2" w14:textId="77777777" w:rsidR="0008727E" w:rsidRPr="001B1874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6FA61C4" w14:textId="6238513A" w:rsidR="0008727E" w:rsidRPr="001B1874" w:rsidRDefault="0008727E" w:rsidP="0008727E">
            <w:pPr>
              <w:widowControl w:val="0"/>
              <w:tabs>
                <w:tab w:val="left" w:pos="2095"/>
                <w:tab w:val="left" w:pos="2097"/>
              </w:tabs>
              <w:autoSpaceDE w:val="0"/>
              <w:autoSpaceDN w:val="0"/>
              <w:ind w:right="1245"/>
              <w:jc w:val="both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 xml:space="preserve">This procedure provides a framework for managing change effectively, fairly and consistently through planning, consultation and </w:t>
            </w:r>
            <w:r w:rsidRPr="001B1874">
              <w:rPr>
                <w:rFonts w:ascii="Lato" w:hAnsi="Lato"/>
                <w:spacing w:val="-2"/>
                <w:sz w:val="22"/>
                <w:szCs w:val="22"/>
              </w:rPr>
              <w:t>communication.</w:t>
            </w:r>
          </w:p>
          <w:p w14:paraId="39CA6BE3" w14:textId="604B7DA5" w:rsidR="0008727E" w:rsidRPr="001B1874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A7392A" w:rsidRPr="00670940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A7392A" w:rsidRPr="00670940" w:rsidRDefault="00A7392A" w:rsidP="00A739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70940"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324AA33D" w:rsidR="00A7392A" w:rsidRPr="001B1874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1B1874">
              <w:rPr>
                <w:rFonts w:ascii="Lato" w:hAnsi="Lato"/>
                <w:sz w:val="22"/>
                <w:szCs w:val="22"/>
              </w:rPr>
              <w:t>HR team</w:t>
            </w:r>
            <w:r w:rsidR="008C7C64" w:rsidRPr="001B1874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A7392A" w:rsidRPr="00670940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A7392A" w:rsidRPr="00670940" w:rsidRDefault="00A7392A" w:rsidP="00A7392A">
            <w:pPr>
              <w:spacing w:line="276" w:lineRule="auto"/>
              <w:jc w:val="center"/>
            </w:pPr>
            <w:r w:rsidRPr="00670940">
              <w:lastRenderedPageBreak/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A7392A" w:rsidRPr="00670940" w:rsidRDefault="00A7392A" w:rsidP="0008727E">
            <w:pPr>
              <w:rPr>
                <w:szCs w:val="16"/>
              </w:rPr>
            </w:pPr>
          </w:p>
        </w:tc>
      </w:tr>
    </w:tbl>
    <w:p w14:paraId="39CA6BEB" w14:textId="77777777" w:rsidR="006D3F43" w:rsidRPr="00670940" w:rsidRDefault="006D3F43" w:rsidP="00F72963">
      <w:pPr>
        <w:pStyle w:val="NoSpacing"/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670940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670940" w:rsidRDefault="00C81A1C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670940">
              <w:rPr>
                <w:b/>
                <w:shd w:val="clear" w:color="auto" w:fill="FDE9D9" w:themeFill="accent6" w:themeFillTint="33"/>
              </w:rPr>
              <w:t>decision</w:t>
            </w:r>
            <w:r w:rsidRPr="00670940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670940">
              <w:rPr>
                <w:b/>
                <w:shd w:val="clear" w:color="auto" w:fill="FDE9D9" w:themeFill="accent6" w:themeFillTint="33"/>
              </w:rPr>
              <w:br/>
            </w:r>
            <w:r w:rsidR="009975A9" w:rsidRPr="00670940">
              <w:rPr>
                <w:b/>
                <w:shd w:val="clear" w:color="auto" w:fill="FDE9D9" w:themeFill="accent6" w:themeFillTint="33"/>
              </w:rPr>
              <w:br/>
            </w:r>
            <w:r w:rsidR="00C9206B" w:rsidRPr="00670940">
              <w:rPr>
                <w:shd w:val="clear" w:color="auto" w:fill="FDE9D9" w:themeFill="accent6" w:themeFillTint="33"/>
              </w:rPr>
              <w:t>(</w:t>
            </w:r>
            <w:r w:rsidR="00C07BE4" w:rsidRPr="00670940">
              <w:rPr>
                <w:shd w:val="clear" w:color="auto" w:fill="FDE9D9" w:themeFill="accent6" w:themeFillTint="33"/>
              </w:rPr>
              <w:t>place an x against relevant outcome</w:t>
            </w:r>
            <w:r w:rsidR="00C9206B" w:rsidRPr="00670940">
              <w:t>)</w:t>
            </w:r>
            <w:r w:rsidR="00FC6575" w:rsidRPr="00670940">
              <w:rPr>
                <w:b/>
              </w:rPr>
              <w:t xml:space="preserve"> </w:t>
            </w:r>
          </w:p>
          <w:p w14:paraId="39CA6BEE" w14:textId="77777777" w:rsidR="002F31D7" w:rsidRPr="00670940" w:rsidRDefault="002F31D7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rPr>
                <w:sz w:val="20"/>
              </w:rPr>
              <w:t xml:space="preserve">See note </w:t>
            </w:r>
            <w:r w:rsidR="00C76212" w:rsidRPr="00670940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670940" w:rsidRDefault="00C81A1C" w:rsidP="009B759A">
            <w:pPr>
              <w:spacing w:line="276" w:lineRule="auto"/>
              <w:ind w:left="1450" w:hanging="1417"/>
            </w:pPr>
            <w:r w:rsidRPr="00670940">
              <w:t>Outcome 1</w:t>
            </w:r>
            <w:r w:rsidR="00976A7A">
              <w:t xml:space="preserve">: </w:t>
            </w:r>
            <w:r w:rsidR="009B759A">
              <w:tab/>
            </w:r>
            <w:r w:rsidRPr="00670940">
              <w:t>Proceed –</w:t>
            </w:r>
            <w:r w:rsidR="00DD267E" w:rsidRPr="00670940">
              <w:t xml:space="preserve"> </w:t>
            </w:r>
            <w:r w:rsidRPr="00670940">
              <w:t>no potential identified for discrimination or adverse impact, and all opportunities to</w:t>
            </w:r>
            <w:r w:rsidR="00976A7A">
              <w:t xml:space="preserve"> </w:t>
            </w:r>
            <w:r w:rsidRPr="00670940"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1A1C" w:rsidRPr="00670940" w14:paraId="39CA6BF5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2</w:t>
            </w:r>
            <w:r w:rsidR="009B759A">
              <w:t>:</w:t>
            </w:r>
            <w:r w:rsidR="009B759A">
              <w:tab/>
            </w:r>
            <w:r w:rsidRPr="00670940"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01521B96" w:rsidR="00C81A1C" w:rsidRPr="00670940" w:rsidRDefault="1B4EED0A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79D439F8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670940" w14:paraId="39CA6BF9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3</w:t>
            </w:r>
            <w:r w:rsidR="00675548">
              <w:t>:</w:t>
            </w:r>
            <w:r w:rsidR="00675548">
              <w:tab/>
            </w:r>
            <w:r w:rsidRPr="00670940"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81A1C" w:rsidRPr="00670940" w14:paraId="39CA6BFD" w14:textId="77777777" w:rsidTr="79D439F8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4</w:t>
            </w:r>
            <w:r w:rsidR="00675548">
              <w:t>:</w:t>
            </w:r>
            <w:r w:rsidR="00675548">
              <w:tab/>
            </w:r>
            <w:r w:rsidRPr="00670940"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3F86" w:rsidRPr="00670940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670940" w:rsidRDefault="00347AED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t xml:space="preserve">Any </w:t>
            </w:r>
            <w:r w:rsidR="00331C19" w:rsidRPr="00670940">
              <w:t>o</w:t>
            </w:r>
            <w:r w:rsidR="00473F86" w:rsidRPr="00670940">
              <w:t xml:space="preserve">ther </w:t>
            </w:r>
            <w:r w:rsidR="00331C19" w:rsidRPr="00670940">
              <w:t>r</w:t>
            </w:r>
            <w:r w:rsidR="00473F86" w:rsidRPr="00670940">
              <w:t>ecommendations?</w:t>
            </w:r>
            <w:r w:rsidR="00331C19" w:rsidRPr="00670940">
              <w:t xml:space="preserve">  </w:t>
            </w:r>
          </w:p>
        </w:tc>
      </w:tr>
      <w:tr w:rsidR="00473F86" w:rsidRPr="00670940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670940" w:rsidRDefault="00F01FE0" w:rsidP="00F7296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9CA6C02" w14:textId="77777777" w:rsidR="0070228B" w:rsidRPr="00670940" w:rsidRDefault="0070228B" w:rsidP="00F72963">
      <w:pPr>
        <w:spacing w:after="0"/>
      </w:pPr>
    </w:p>
    <w:p w14:paraId="39CA6C03" w14:textId="0B5E0CF2" w:rsidR="005C1F2A" w:rsidRPr="00670940" w:rsidRDefault="00F154F9" w:rsidP="00F72963">
      <w:pPr>
        <w:spacing w:after="0"/>
        <w:rPr>
          <w:b/>
        </w:rPr>
      </w:pPr>
      <w:r w:rsidRPr="00670940">
        <w:rPr>
          <w:b/>
        </w:rPr>
        <w:t>Step</w:t>
      </w:r>
      <w:r w:rsidR="00777F52" w:rsidRPr="00670940">
        <w:rPr>
          <w:b/>
        </w:rPr>
        <w:t xml:space="preserve"> </w:t>
      </w:r>
      <w:r w:rsidR="003E0686" w:rsidRPr="00670940">
        <w:rPr>
          <w:b/>
        </w:rPr>
        <w:t>5</w:t>
      </w:r>
      <w:r w:rsidR="005C1F2A" w:rsidRPr="00670940">
        <w:rPr>
          <w:b/>
        </w:rPr>
        <w:t>: The monitoring and review stage</w:t>
      </w:r>
      <w:r w:rsidR="0053368B" w:rsidRPr="00670940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670940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670940" w:rsidRDefault="00AD3F4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Plan actions</w:t>
            </w:r>
            <w:r w:rsidR="009975A9" w:rsidRPr="00670940">
              <w:rPr>
                <w:b/>
              </w:rPr>
              <w:t xml:space="preserve"> </w:t>
            </w:r>
            <w:r w:rsidRPr="00670940">
              <w:rPr>
                <w:b/>
              </w:rPr>
              <w:t>to reduce negative impact, advance equality and monitor</w:t>
            </w:r>
            <w:r w:rsidR="009975A9" w:rsidRPr="00670940">
              <w:rPr>
                <w:b/>
              </w:rPr>
              <w:t xml:space="preserve"> the impact of the </w:t>
            </w:r>
            <w:r w:rsidRPr="00670940">
              <w:rPr>
                <w:b/>
              </w:rPr>
              <w:t xml:space="preserve">policy, </w:t>
            </w:r>
            <w:r w:rsidR="009975A9" w:rsidRPr="00670940">
              <w:rPr>
                <w:b/>
              </w:rPr>
              <w:t>proposal</w:t>
            </w:r>
            <w:r w:rsidRPr="00670940">
              <w:rPr>
                <w:b/>
              </w:rPr>
              <w:t xml:space="preserve"> or decision</w:t>
            </w:r>
          </w:p>
          <w:p w14:paraId="39CA6C05" w14:textId="77777777" w:rsidR="009975A9" w:rsidRPr="00670940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670940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 w:rsidRPr="00670940">
              <w:rPr>
                <w:bCs/>
              </w:rPr>
              <w:t>, etc.</w:t>
            </w:r>
          </w:p>
          <w:p w14:paraId="39CA6C07" w14:textId="77777777" w:rsidR="009975A9" w:rsidRPr="00670940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</w:rPr>
              <w:t>How will the impact of the policy/procedure/decision be monitored?</w:t>
            </w:r>
          </w:p>
          <w:p w14:paraId="39CA6C08" w14:textId="77777777" w:rsidR="003747D2" w:rsidRPr="00670940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  <w:sz w:val="20"/>
              </w:rPr>
              <w:t>See Note 10</w:t>
            </w:r>
          </w:p>
        </w:tc>
      </w:tr>
      <w:tr w:rsidR="00C81A1C" w:rsidRPr="00670940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 xml:space="preserve">Action to be </w:t>
            </w:r>
            <w:r w:rsidR="009975A9" w:rsidRPr="00670940">
              <w:rPr>
                <w:b/>
                <w:sz w:val="22"/>
                <w:szCs w:val="22"/>
              </w:rPr>
              <w:t>T</w:t>
            </w:r>
            <w:r w:rsidRPr="00670940">
              <w:rPr>
                <w:b/>
                <w:sz w:val="22"/>
                <w:szCs w:val="22"/>
              </w:rPr>
              <w:t>aken</w:t>
            </w:r>
            <w:r w:rsidR="00211D20" w:rsidRPr="00670940">
              <w:rPr>
                <w:b/>
                <w:sz w:val="22"/>
                <w:szCs w:val="22"/>
              </w:rPr>
              <w:t>:</w:t>
            </w:r>
            <w:r w:rsidRPr="00670940">
              <w:rPr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670940" w:rsidRDefault="00774188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670940" w:rsidRDefault="009975A9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Person R</w:t>
            </w:r>
            <w:r w:rsidR="00C85426" w:rsidRPr="00670940">
              <w:rPr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670940" w:rsidRDefault="00777F52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Completion/Review</w:t>
            </w:r>
            <w:r w:rsidR="00C85426" w:rsidRPr="00670940">
              <w:rPr>
                <w:b/>
                <w:sz w:val="22"/>
                <w:szCs w:val="22"/>
              </w:rPr>
              <w:t xml:space="preserve"> </w:t>
            </w:r>
            <w:r w:rsidR="009975A9" w:rsidRPr="00670940">
              <w:rPr>
                <w:b/>
                <w:sz w:val="22"/>
                <w:szCs w:val="22"/>
              </w:rPr>
              <w:t>D</w:t>
            </w:r>
            <w:r w:rsidR="00C85426" w:rsidRPr="00670940">
              <w:rPr>
                <w:b/>
                <w:sz w:val="22"/>
                <w:szCs w:val="22"/>
              </w:rPr>
              <w:t>ate:</w:t>
            </w:r>
          </w:p>
          <w:p w14:paraId="39CA6C0F" w14:textId="77777777" w:rsidR="00F01FE0" w:rsidRPr="00670940" w:rsidRDefault="00F01FE0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7392A" w:rsidRPr="00670940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516CE334" w:rsidR="00A7392A" w:rsidRPr="00035369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lastRenderedPageBreak/>
              <w:t xml:space="preserve">All relevant information is recorded and monitored if the process is followed </w:t>
            </w:r>
            <w:r w:rsidR="002A52C1" w:rsidRPr="00035369">
              <w:rPr>
                <w:rFonts w:ascii="Lato" w:hAnsi="Lato"/>
                <w:sz w:val="22"/>
                <w:szCs w:val="22"/>
              </w:rPr>
              <w:t xml:space="preserve">appropriately 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and </w:t>
            </w:r>
            <w:r w:rsidR="002A52C1" w:rsidRPr="00035369">
              <w:rPr>
                <w:rFonts w:ascii="Lato" w:hAnsi="Lato"/>
                <w:sz w:val="22"/>
                <w:szCs w:val="22"/>
              </w:rPr>
              <w:t>no unfair discrimination occurs.</w:t>
            </w:r>
            <w:r w:rsidRPr="00035369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40706477" w:rsidR="00A7392A" w:rsidRPr="00035369" w:rsidRDefault="0008727E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HR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7D023CC" w:rsidR="00A7392A" w:rsidRPr="00A9535C" w:rsidRDefault="00A9535C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2A52C1" w:rsidRPr="00670940" w14:paraId="5F23AA01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6C5F49FE" w14:textId="7B5C1B55" w:rsidR="002A52C1" w:rsidRPr="00035369" w:rsidRDefault="002A52C1" w:rsidP="002A52C1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Collect feedback from HR Partners if they receive any feedback or claims from protected characteristic employees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1EA6849F" w14:textId="32CE29CE" w:rsidR="002A52C1" w:rsidRPr="00035369" w:rsidRDefault="002A52C1" w:rsidP="00A7392A">
            <w:pPr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53A783D" w14:textId="395D53A5" w:rsidR="002A52C1" w:rsidRPr="00A9535C" w:rsidRDefault="00A9535C" w:rsidP="00A7392A">
            <w:pPr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A7392A" w:rsidRPr="00670940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4EC4B5D4" w:rsidR="00A7392A" w:rsidRPr="00035369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6B807582" w:rsidR="00A7392A" w:rsidRPr="00035369" w:rsidRDefault="00A7392A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035369">
              <w:rPr>
                <w:rFonts w:ascii="Lato" w:hAnsi="Lato"/>
                <w:sz w:val="22"/>
                <w:szCs w:val="22"/>
              </w:rPr>
              <w:t>Sue Clyne (as part of the management/union group)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596B5723" w:rsidR="00A7392A" w:rsidRPr="00A9535C" w:rsidRDefault="00A9535C" w:rsidP="00A7392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A9535C"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A7392A" w:rsidRPr="00670940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A7392A" w:rsidRPr="00670940" w:rsidRDefault="00A7392A" w:rsidP="00A7392A">
            <w:pPr>
              <w:spacing w:line="276" w:lineRule="auto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A7392A" w:rsidRPr="00670940" w:rsidRDefault="00A7392A" w:rsidP="00A7392A">
            <w:pPr>
              <w:spacing w:line="276" w:lineRule="auto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A7392A" w:rsidRPr="00670940" w:rsidRDefault="00A7392A" w:rsidP="00A7392A">
            <w:pPr>
              <w:spacing w:line="276" w:lineRule="auto"/>
            </w:pPr>
          </w:p>
        </w:tc>
      </w:tr>
      <w:tr w:rsidR="00A7392A" w:rsidRPr="00670940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5F5D88AB" w:rsidR="00A7392A" w:rsidRPr="00670940" w:rsidRDefault="00A7392A" w:rsidP="00A7392A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</w:rPr>
              <w:t xml:space="preserve">Signature of Lead:    </w:t>
            </w:r>
            <w:r w:rsidR="001B1874" w:rsidRPr="0074170C">
              <w:rPr>
                <w:rFonts w:ascii="Lato" w:hAnsi="Lato"/>
                <w:noProof/>
              </w:rPr>
              <w:drawing>
                <wp:inline distT="0" distB="0" distL="0" distR="0" wp14:anchorId="4B802F3B" wp14:editId="0FA0CD7E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940">
              <w:rPr>
                <w:sz w:val="20"/>
                <w:szCs w:val="20"/>
              </w:rPr>
              <w:tab/>
            </w:r>
            <w:r w:rsidRPr="00670940">
              <w:rPr>
                <w:sz w:val="22"/>
                <w:szCs w:val="20"/>
              </w:rPr>
              <w:tab/>
            </w:r>
            <w:r w:rsidR="001B1874">
              <w:rPr>
                <w:sz w:val="22"/>
                <w:szCs w:val="20"/>
              </w:rPr>
              <w:t xml:space="preserve">                                                                                  </w:t>
            </w:r>
            <w:r w:rsidRPr="00670940">
              <w:rPr>
                <w:b/>
              </w:rPr>
              <w:t xml:space="preserve">Date:  </w:t>
            </w:r>
            <w:r w:rsidR="001B1874">
              <w:rPr>
                <w:b/>
              </w:rPr>
              <w:t>7 November 2024</w:t>
            </w:r>
          </w:p>
        </w:tc>
      </w:tr>
    </w:tbl>
    <w:p w14:paraId="3ABB8483" w14:textId="77777777" w:rsidR="003E0686" w:rsidRPr="00670940" w:rsidRDefault="003E0686" w:rsidP="00F72963">
      <w:pPr>
        <w:spacing w:after="0"/>
        <w:rPr>
          <w:b/>
        </w:rPr>
      </w:pPr>
    </w:p>
    <w:p w14:paraId="241860C8" w14:textId="64A57662" w:rsidR="003E0686" w:rsidRPr="00670940" w:rsidRDefault="003E0686" w:rsidP="00F72963">
      <w:pPr>
        <w:spacing w:after="0"/>
        <w:rPr>
          <w:b/>
        </w:rPr>
      </w:pPr>
      <w:r w:rsidRPr="00670940">
        <w:rPr>
          <w:b/>
        </w:rPr>
        <w:t>Step 6 – Review and Publication</w:t>
      </w:r>
    </w:p>
    <w:p w14:paraId="5645AC33" w14:textId="77777777" w:rsidR="003E0686" w:rsidRPr="00670940" w:rsidRDefault="003E0686" w:rsidP="00F72963">
      <w:pPr>
        <w:spacing w:after="0"/>
        <w:rPr>
          <w:sz w:val="20"/>
        </w:rPr>
      </w:pPr>
      <w:r w:rsidRPr="00670940">
        <w:rPr>
          <w:sz w:val="20"/>
        </w:rPr>
        <w:t>See Note 11</w:t>
      </w:r>
    </w:p>
    <w:p w14:paraId="49EC0EAC" w14:textId="77777777" w:rsidR="003E0686" w:rsidRPr="00670940" w:rsidRDefault="003E0686" w:rsidP="00F72963">
      <w:pPr>
        <w:spacing w:after="0"/>
      </w:pPr>
      <w:r w:rsidRPr="00670940">
        <w:t xml:space="preserve">Please send the completed EIA record to </w:t>
      </w:r>
      <w:hyperlink r:id="rId13" w:history="1">
        <w:r w:rsidRPr="00670940">
          <w:rPr>
            <w:rStyle w:val="Hyperlink"/>
          </w:rPr>
          <w:t>equality@edinburghcollege.ac.uk</w:t>
        </w:r>
      </w:hyperlink>
      <w:r w:rsidRPr="00670940">
        <w:t xml:space="preserve"> for </w:t>
      </w:r>
    </w:p>
    <w:p w14:paraId="7FFBB6C5" w14:textId="5264BE9B" w:rsidR="003E0686" w:rsidRPr="00670940" w:rsidRDefault="003E0686" w:rsidP="00F7296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670940">
        <w:t xml:space="preserve">review by </w:t>
      </w:r>
      <w:r w:rsidR="006611B4">
        <w:t>Qualit</w:t>
      </w:r>
      <w:r w:rsidR="00BB1C6B">
        <w:t>y</w:t>
      </w:r>
      <w:r w:rsidR="006611B4">
        <w:t xml:space="preserve"> and </w:t>
      </w:r>
      <w:r w:rsidR="00794BF3">
        <w:t>Improvement;</w:t>
      </w:r>
    </w:p>
    <w:p w14:paraId="015A49A6" w14:textId="5D751190" w:rsidR="003E0686" w:rsidRDefault="003E0686" w:rsidP="006611B4">
      <w:pPr>
        <w:pStyle w:val="ListParagraph"/>
        <w:numPr>
          <w:ilvl w:val="0"/>
          <w:numId w:val="13"/>
        </w:numPr>
        <w:spacing w:after="0"/>
      </w:pPr>
      <w:r w:rsidRPr="00670940">
        <w:t>publication in whole or in part on the College website.</w:t>
      </w:r>
    </w:p>
    <w:p w14:paraId="6F2FB9A5" w14:textId="77777777" w:rsidR="009C5AF9" w:rsidRPr="00670940" w:rsidRDefault="009C5AF9" w:rsidP="009C5AF9">
      <w:pPr>
        <w:pStyle w:val="ListParagraph"/>
        <w:spacing w:after="0"/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670940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670940" w:rsidRDefault="003E0686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</w:t>
            </w:r>
            <w:r w:rsidR="006E0572" w:rsidRPr="00670940">
              <w:rPr>
                <w:b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5FC3D89D" w:rsidR="003E0686" w:rsidRPr="00670940" w:rsidRDefault="002124C5" w:rsidP="00F72963">
            <w:pPr>
              <w:spacing w:line="276" w:lineRule="auto"/>
              <w:rPr>
                <w:b/>
              </w:rPr>
            </w:pPr>
            <w:r>
              <w:rPr>
                <w:b/>
              </w:rPr>
              <w:t>17 December 2024</w:t>
            </w:r>
          </w:p>
        </w:tc>
      </w:tr>
      <w:tr w:rsidR="006E0572" w:rsidRPr="00670940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670940" w:rsidRDefault="006E057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0937CED9" w:rsidR="006E0572" w:rsidRPr="00670940" w:rsidRDefault="000E13E2" w:rsidP="00F72963">
            <w:pPr>
              <w:spacing w:line="276" w:lineRule="auto"/>
              <w:rPr>
                <w:b/>
              </w:rPr>
            </w:pPr>
            <w:r w:rsidRPr="000E13E2">
              <w:rPr>
                <w:b/>
              </w:rPr>
              <w:t>11 March 2025</w:t>
            </w:r>
            <w:bookmarkStart w:id="0" w:name="_GoBack"/>
            <w:bookmarkEnd w:id="0"/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844B" w14:textId="77777777" w:rsidR="002A08A5" w:rsidRDefault="002A08A5" w:rsidP="00EC6BAC">
      <w:pPr>
        <w:spacing w:after="0" w:line="240" w:lineRule="auto"/>
      </w:pPr>
      <w:r>
        <w:separator/>
      </w:r>
    </w:p>
  </w:endnote>
  <w:endnote w:type="continuationSeparator" w:id="0">
    <w:p w14:paraId="50A91886" w14:textId="77777777" w:rsidR="002A08A5" w:rsidRDefault="002A08A5" w:rsidP="00EC6BAC">
      <w:pPr>
        <w:spacing w:after="0" w:line="240" w:lineRule="auto"/>
      </w:pPr>
      <w:r>
        <w:continuationSeparator/>
      </w:r>
    </w:p>
  </w:endnote>
  <w:endnote w:type="continuationNotice" w:id="1">
    <w:p w14:paraId="7011A984" w14:textId="77777777" w:rsidR="002A08A5" w:rsidRDefault="002A0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0E13E2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7281E" w14:textId="77777777" w:rsidR="002A08A5" w:rsidRDefault="002A08A5" w:rsidP="00EC6BAC">
      <w:pPr>
        <w:spacing w:after="0" w:line="240" w:lineRule="auto"/>
      </w:pPr>
      <w:r>
        <w:separator/>
      </w:r>
    </w:p>
  </w:footnote>
  <w:footnote w:type="continuationSeparator" w:id="0">
    <w:p w14:paraId="67704201" w14:textId="77777777" w:rsidR="002A08A5" w:rsidRDefault="002A08A5" w:rsidP="00EC6BAC">
      <w:pPr>
        <w:spacing w:after="0" w:line="240" w:lineRule="auto"/>
      </w:pPr>
      <w:r>
        <w:continuationSeparator/>
      </w:r>
    </w:p>
  </w:footnote>
  <w:footnote w:type="continuationNotice" w:id="1">
    <w:p w14:paraId="32FBEAF1" w14:textId="77777777" w:rsidR="002A08A5" w:rsidRDefault="002A08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0F2"/>
    <w:multiLevelType w:val="hybridMultilevel"/>
    <w:tmpl w:val="AB2AFD7C"/>
    <w:lvl w:ilvl="0" w:tplc="08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6A9"/>
    <w:multiLevelType w:val="hybridMultilevel"/>
    <w:tmpl w:val="4C6AE04E"/>
    <w:lvl w:ilvl="0" w:tplc="CDC0E43E">
      <w:numFmt w:val="bullet"/>
      <w:lvlText w:val=""/>
      <w:lvlJc w:val="left"/>
      <w:pPr>
        <w:ind w:left="252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9A408A">
      <w:numFmt w:val="bullet"/>
      <w:lvlText w:val="•"/>
      <w:lvlJc w:val="left"/>
      <w:pPr>
        <w:ind w:left="3367" w:hanging="425"/>
      </w:pPr>
      <w:rPr>
        <w:rFonts w:hint="default"/>
        <w:lang w:val="en-US" w:eastAsia="en-US" w:bidi="ar-SA"/>
      </w:rPr>
    </w:lvl>
    <w:lvl w:ilvl="2" w:tplc="3AF4FB94">
      <w:numFmt w:val="bullet"/>
      <w:lvlText w:val="•"/>
      <w:lvlJc w:val="left"/>
      <w:pPr>
        <w:ind w:left="4215" w:hanging="425"/>
      </w:pPr>
      <w:rPr>
        <w:rFonts w:hint="default"/>
        <w:lang w:val="en-US" w:eastAsia="en-US" w:bidi="ar-SA"/>
      </w:rPr>
    </w:lvl>
    <w:lvl w:ilvl="3" w:tplc="19DEBEC2">
      <w:numFmt w:val="bullet"/>
      <w:lvlText w:val="•"/>
      <w:lvlJc w:val="left"/>
      <w:pPr>
        <w:ind w:left="5063" w:hanging="425"/>
      </w:pPr>
      <w:rPr>
        <w:rFonts w:hint="default"/>
        <w:lang w:val="en-US" w:eastAsia="en-US" w:bidi="ar-SA"/>
      </w:rPr>
    </w:lvl>
    <w:lvl w:ilvl="4" w:tplc="AD089C16">
      <w:numFmt w:val="bullet"/>
      <w:lvlText w:val="•"/>
      <w:lvlJc w:val="left"/>
      <w:pPr>
        <w:ind w:left="5911" w:hanging="425"/>
      </w:pPr>
      <w:rPr>
        <w:rFonts w:hint="default"/>
        <w:lang w:val="en-US" w:eastAsia="en-US" w:bidi="ar-SA"/>
      </w:rPr>
    </w:lvl>
    <w:lvl w:ilvl="5" w:tplc="754A1D68">
      <w:numFmt w:val="bullet"/>
      <w:lvlText w:val="•"/>
      <w:lvlJc w:val="left"/>
      <w:pPr>
        <w:ind w:left="6759" w:hanging="425"/>
      </w:pPr>
      <w:rPr>
        <w:rFonts w:hint="default"/>
        <w:lang w:val="en-US" w:eastAsia="en-US" w:bidi="ar-SA"/>
      </w:rPr>
    </w:lvl>
    <w:lvl w:ilvl="6" w:tplc="64ACB37C">
      <w:numFmt w:val="bullet"/>
      <w:lvlText w:val="•"/>
      <w:lvlJc w:val="left"/>
      <w:pPr>
        <w:ind w:left="7607" w:hanging="425"/>
      </w:pPr>
      <w:rPr>
        <w:rFonts w:hint="default"/>
        <w:lang w:val="en-US" w:eastAsia="en-US" w:bidi="ar-SA"/>
      </w:rPr>
    </w:lvl>
    <w:lvl w:ilvl="7" w:tplc="34142F3E">
      <w:numFmt w:val="bullet"/>
      <w:lvlText w:val="•"/>
      <w:lvlJc w:val="left"/>
      <w:pPr>
        <w:ind w:left="8455" w:hanging="425"/>
      </w:pPr>
      <w:rPr>
        <w:rFonts w:hint="default"/>
        <w:lang w:val="en-US" w:eastAsia="en-US" w:bidi="ar-SA"/>
      </w:rPr>
    </w:lvl>
    <w:lvl w:ilvl="8" w:tplc="C50E63AC">
      <w:numFmt w:val="bullet"/>
      <w:lvlText w:val="•"/>
      <w:lvlJc w:val="left"/>
      <w:pPr>
        <w:ind w:left="930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6D92"/>
    <w:multiLevelType w:val="multilevel"/>
    <w:tmpl w:val="797870FE"/>
    <w:lvl w:ilvl="0">
      <w:start w:val="2"/>
      <w:numFmt w:val="decimal"/>
      <w:lvlText w:val="%1"/>
      <w:lvlJc w:val="left"/>
      <w:pPr>
        <w:ind w:left="2238" w:hanging="852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38" w:hanging="852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991" w:hanging="8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67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43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9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5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1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7" w:hanging="852"/>
      </w:pPr>
      <w:rPr>
        <w:rFonts w:hint="default"/>
        <w:lang w:val="en-US" w:eastAsia="en-US" w:bidi="ar-SA"/>
      </w:rPr>
    </w:lvl>
  </w:abstractNum>
  <w:abstractNum w:abstractNumId="7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4B72"/>
    <w:multiLevelType w:val="multilevel"/>
    <w:tmpl w:val="36362048"/>
    <w:lvl w:ilvl="0">
      <w:start w:val="1"/>
      <w:numFmt w:val="decimal"/>
      <w:lvlText w:val="%1."/>
      <w:lvlJc w:val="left"/>
      <w:pPr>
        <w:ind w:left="143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33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2B16253"/>
    <w:multiLevelType w:val="multilevel"/>
    <w:tmpl w:val="DF80D0F8"/>
    <w:lvl w:ilvl="0">
      <w:start w:val="1"/>
      <w:numFmt w:val="decimal"/>
      <w:lvlText w:val="%1."/>
      <w:lvlJc w:val="left"/>
      <w:pPr>
        <w:ind w:left="143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</w:pPr>
      <w:rPr>
        <w:rFonts w:hint="default"/>
        <w:spacing w:val="-1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33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3BB46A7"/>
    <w:multiLevelType w:val="multilevel"/>
    <w:tmpl w:val="63BA3DD2"/>
    <w:lvl w:ilvl="0">
      <w:start w:val="3"/>
      <w:numFmt w:val="decimal"/>
      <w:lvlText w:val="%1."/>
      <w:lvlJc w:val="left"/>
      <w:pPr>
        <w:ind w:left="1386" w:hanging="567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6" w:hanging="567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14" w:hanging="428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59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9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1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9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9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165A"/>
    <w:multiLevelType w:val="hybridMultilevel"/>
    <w:tmpl w:val="4FCCCD58"/>
    <w:lvl w:ilvl="0" w:tplc="C1E28F8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222A6"/>
    <w:multiLevelType w:val="hybridMultilevel"/>
    <w:tmpl w:val="5D24C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19"/>
  </w:num>
  <w:num w:numId="7">
    <w:abstractNumId w:val="4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8"/>
  </w:num>
  <w:num w:numId="13">
    <w:abstractNumId w:val="7"/>
  </w:num>
  <w:num w:numId="14">
    <w:abstractNumId w:val="8"/>
  </w:num>
  <w:num w:numId="15">
    <w:abstractNumId w:val="6"/>
  </w:num>
  <w:num w:numId="16">
    <w:abstractNumId w:val="10"/>
  </w:num>
  <w:num w:numId="17">
    <w:abstractNumId w:val="9"/>
  </w:num>
  <w:num w:numId="18">
    <w:abstractNumId w:val="2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2B13"/>
    <w:rsid w:val="0001517B"/>
    <w:rsid w:val="00021116"/>
    <w:rsid w:val="00022BC8"/>
    <w:rsid w:val="00035369"/>
    <w:rsid w:val="000366C0"/>
    <w:rsid w:val="00040BAC"/>
    <w:rsid w:val="00041C2B"/>
    <w:rsid w:val="00046FB6"/>
    <w:rsid w:val="00050A48"/>
    <w:rsid w:val="00051B0F"/>
    <w:rsid w:val="000526E8"/>
    <w:rsid w:val="00061ECF"/>
    <w:rsid w:val="00073106"/>
    <w:rsid w:val="0008211F"/>
    <w:rsid w:val="000831BC"/>
    <w:rsid w:val="00085A41"/>
    <w:rsid w:val="0008727E"/>
    <w:rsid w:val="00090CE9"/>
    <w:rsid w:val="00092415"/>
    <w:rsid w:val="0009275B"/>
    <w:rsid w:val="00092CCE"/>
    <w:rsid w:val="00097B18"/>
    <w:rsid w:val="000A181E"/>
    <w:rsid w:val="000A1E68"/>
    <w:rsid w:val="000A2B52"/>
    <w:rsid w:val="000A4912"/>
    <w:rsid w:val="000B7095"/>
    <w:rsid w:val="000C0437"/>
    <w:rsid w:val="000C7526"/>
    <w:rsid w:val="000D32DE"/>
    <w:rsid w:val="000D7B4B"/>
    <w:rsid w:val="000E13E2"/>
    <w:rsid w:val="000E42EC"/>
    <w:rsid w:val="000F06EC"/>
    <w:rsid w:val="00106EAB"/>
    <w:rsid w:val="00112679"/>
    <w:rsid w:val="001133B2"/>
    <w:rsid w:val="00113E60"/>
    <w:rsid w:val="00117961"/>
    <w:rsid w:val="0012152C"/>
    <w:rsid w:val="00132768"/>
    <w:rsid w:val="00153782"/>
    <w:rsid w:val="00160357"/>
    <w:rsid w:val="00164420"/>
    <w:rsid w:val="001669E8"/>
    <w:rsid w:val="00166A92"/>
    <w:rsid w:val="00174EC8"/>
    <w:rsid w:val="00175CB7"/>
    <w:rsid w:val="00176A70"/>
    <w:rsid w:val="00180245"/>
    <w:rsid w:val="001812C7"/>
    <w:rsid w:val="001830D1"/>
    <w:rsid w:val="001832E8"/>
    <w:rsid w:val="001845F7"/>
    <w:rsid w:val="001877A3"/>
    <w:rsid w:val="001B1874"/>
    <w:rsid w:val="001B75BB"/>
    <w:rsid w:val="001C5461"/>
    <w:rsid w:val="001D0425"/>
    <w:rsid w:val="001D31B4"/>
    <w:rsid w:val="001D3A20"/>
    <w:rsid w:val="001D74A7"/>
    <w:rsid w:val="001E03B2"/>
    <w:rsid w:val="001E121F"/>
    <w:rsid w:val="001E73F1"/>
    <w:rsid w:val="001E7F45"/>
    <w:rsid w:val="001F7A0F"/>
    <w:rsid w:val="00202247"/>
    <w:rsid w:val="00210B93"/>
    <w:rsid w:val="00211D20"/>
    <w:rsid w:val="002124C5"/>
    <w:rsid w:val="00216CE3"/>
    <w:rsid w:val="0021774A"/>
    <w:rsid w:val="00217B72"/>
    <w:rsid w:val="00236EF7"/>
    <w:rsid w:val="00241BE4"/>
    <w:rsid w:val="0025013C"/>
    <w:rsid w:val="00250155"/>
    <w:rsid w:val="00254E81"/>
    <w:rsid w:val="0026100E"/>
    <w:rsid w:val="00262B9B"/>
    <w:rsid w:val="00262EBB"/>
    <w:rsid w:val="00263C8B"/>
    <w:rsid w:val="0027399A"/>
    <w:rsid w:val="00294731"/>
    <w:rsid w:val="002A08A5"/>
    <w:rsid w:val="002A21A0"/>
    <w:rsid w:val="002A3745"/>
    <w:rsid w:val="002A52C1"/>
    <w:rsid w:val="002B33E5"/>
    <w:rsid w:val="002B3744"/>
    <w:rsid w:val="002B3E36"/>
    <w:rsid w:val="002C16B3"/>
    <w:rsid w:val="002C347E"/>
    <w:rsid w:val="002D57F4"/>
    <w:rsid w:val="002E6A9C"/>
    <w:rsid w:val="002F31D7"/>
    <w:rsid w:val="002F341B"/>
    <w:rsid w:val="002F403D"/>
    <w:rsid w:val="002F6B33"/>
    <w:rsid w:val="002F6BC8"/>
    <w:rsid w:val="002F7099"/>
    <w:rsid w:val="00302F87"/>
    <w:rsid w:val="00303CB1"/>
    <w:rsid w:val="00312917"/>
    <w:rsid w:val="0032051D"/>
    <w:rsid w:val="00321C45"/>
    <w:rsid w:val="00323A6A"/>
    <w:rsid w:val="00325293"/>
    <w:rsid w:val="0032550F"/>
    <w:rsid w:val="00331A1F"/>
    <w:rsid w:val="00331C19"/>
    <w:rsid w:val="00332FCB"/>
    <w:rsid w:val="00337760"/>
    <w:rsid w:val="00340898"/>
    <w:rsid w:val="00340A1D"/>
    <w:rsid w:val="00343996"/>
    <w:rsid w:val="00345E3E"/>
    <w:rsid w:val="00347AED"/>
    <w:rsid w:val="0035084D"/>
    <w:rsid w:val="00353082"/>
    <w:rsid w:val="0036410D"/>
    <w:rsid w:val="00370234"/>
    <w:rsid w:val="00371155"/>
    <w:rsid w:val="003714EC"/>
    <w:rsid w:val="003747D2"/>
    <w:rsid w:val="00375888"/>
    <w:rsid w:val="00376FE3"/>
    <w:rsid w:val="00383A03"/>
    <w:rsid w:val="00385C5C"/>
    <w:rsid w:val="00395271"/>
    <w:rsid w:val="00397EBD"/>
    <w:rsid w:val="003A76BF"/>
    <w:rsid w:val="003B0191"/>
    <w:rsid w:val="003B100B"/>
    <w:rsid w:val="003B132B"/>
    <w:rsid w:val="003B2643"/>
    <w:rsid w:val="003B3F27"/>
    <w:rsid w:val="003B4171"/>
    <w:rsid w:val="003B5621"/>
    <w:rsid w:val="003C258C"/>
    <w:rsid w:val="003C2BC3"/>
    <w:rsid w:val="003C3A0E"/>
    <w:rsid w:val="003C3BDF"/>
    <w:rsid w:val="003C6F0A"/>
    <w:rsid w:val="003E0686"/>
    <w:rsid w:val="003E0A4C"/>
    <w:rsid w:val="003E13B6"/>
    <w:rsid w:val="003E2992"/>
    <w:rsid w:val="003E3068"/>
    <w:rsid w:val="003E723B"/>
    <w:rsid w:val="003F0992"/>
    <w:rsid w:val="003F16C5"/>
    <w:rsid w:val="003F4CB6"/>
    <w:rsid w:val="003F702E"/>
    <w:rsid w:val="00404A4A"/>
    <w:rsid w:val="00405C44"/>
    <w:rsid w:val="0041057C"/>
    <w:rsid w:val="00410ECC"/>
    <w:rsid w:val="0041433B"/>
    <w:rsid w:val="004175D0"/>
    <w:rsid w:val="0043183F"/>
    <w:rsid w:val="00446896"/>
    <w:rsid w:val="0044724F"/>
    <w:rsid w:val="00453975"/>
    <w:rsid w:val="00473F86"/>
    <w:rsid w:val="0047569D"/>
    <w:rsid w:val="00475EA9"/>
    <w:rsid w:val="00477857"/>
    <w:rsid w:val="004829A3"/>
    <w:rsid w:val="00483B7F"/>
    <w:rsid w:val="004927CF"/>
    <w:rsid w:val="0049436B"/>
    <w:rsid w:val="004950A8"/>
    <w:rsid w:val="004A08E7"/>
    <w:rsid w:val="004A4F3F"/>
    <w:rsid w:val="004A54CD"/>
    <w:rsid w:val="004A7B9E"/>
    <w:rsid w:val="004B3B6D"/>
    <w:rsid w:val="004B7BCF"/>
    <w:rsid w:val="004C119F"/>
    <w:rsid w:val="004C1D58"/>
    <w:rsid w:val="004C50CC"/>
    <w:rsid w:val="004C727B"/>
    <w:rsid w:val="004D513D"/>
    <w:rsid w:val="004E2AB0"/>
    <w:rsid w:val="004E5274"/>
    <w:rsid w:val="004E7AF5"/>
    <w:rsid w:val="004F6FBD"/>
    <w:rsid w:val="00507C1E"/>
    <w:rsid w:val="00514DAD"/>
    <w:rsid w:val="005215CF"/>
    <w:rsid w:val="0052493B"/>
    <w:rsid w:val="00530240"/>
    <w:rsid w:val="0053368B"/>
    <w:rsid w:val="005459BE"/>
    <w:rsid w:val="00545FA5"/>
    <w:rsid w:val="00551062"/>
    <w:rsid w:val="00562A05"/>
    <w:rsid w:val="00566710"/>
    <w:rsid w:val="00576BB6"/>
    <w:rsid w:val="00587114"/>
    <w:rsid w:val="00587CA2"/>
    <w:rsid w:val="00590127"/>
    <w:rsid w:val="005914FE"/>
    <w:rsid w:val="00591F5A"/>
    <w:rsid w:val="00592869"/>
    <w:rsid w:val="00593E41"/>
    <w:rsid w:val="005950BA"/>
    <w:rsid w:val="005A5B26"/>
    <w:rsid w:val="005B2EA3"/>
    <w:rsid w:val="005B50FA"/>
    <w:rsid w:val="005B6804"/>
    <w:rsid w:val="005C03FC"/>
    <w:rsid w:val="005C1F2A"/>
    <w:rsid w:val="005C2CD1"/>
    <w:rsid w:val="005D06C2"/>
    <w:rsid w:val="005D2770"/>
    <w:rsid w:val="005D320C"/>
    <w:rsid w:val="005D405A"/>
    <w:rsid w:val="005E2E3B"/>
    <w:rsid w:val="005E5272"/>
    <w:rsid w:val="005E715E"/>
    <w:rsid w:val="005F4827"/>
    <w:rsid w:val="00610DC7"/>
    <w:rsid w:val="00615B13"/>
    <w:rsid w:val="0061726E"/>
    <w:rsid w:val="00617783"/>
    <w:rsid w:val="0062032F"/>
    <w:rsid w:val="00633C01"/>
    <w:rsid w:val="00634366"/>
    <w:rsid w:val="00635889"/>
    <w:rsid w:val="00637017"/>
    <w:rsid w:val="00637B29"/>
    <w:rsid w:val="00640E80"/>
    <w:rsid w:val="00650DAA"/>
    <w:rsid w:val="00656F1C"/>
    <w:rsid w:val="006611B4"/>
    <w:rsid w:val="0066419E"/>
    <w:rsid w:val="00670940"/>
    <w:rsid w:val="00675548"/>
    <w:rsid w:val="00677057"/>
    <w:rsid w:val="006845D3"/>
    <w:rsid w:val="00690B8D"/>
    <w:rsid w:val="00692E21"/>
    <w:rsid w:val="00694650"/>
    <w:rsid w:val="006A5E66"/>
    <w:rsid w:val="006B27B7"/>
    <w:rsid w:val="006B3A69"/>
    <w:rsid w:val="006B7E5C"/>
    <w:rsid w:val="006D0B08"/>
    <w:rsid w:val="006D192A"/>
    <w:rsid w:val="006D3536"/>
    <w:rsid w:val="006D3970"/>
    <w:rsid w:val="006D3F43"/>
    <w:rsid w:val="006E0572"/>
    <w:rsid w:val="006F35E2"/>
    <w:rsid w:val="006F48B0"/>
    <w:rsid w:val="006F4FC8"/>
    <w:rsid w:val="006F50B8"/>
    <w:rsid w:val="006F6571"/>
    <w:rsid w:val="006F6DC4"/>
    <w:rsid w:val="0070228B"/>
    <w:rsid w:val="00706148"/>
    <w:rsid w:val="00706168"/>
    <w:rsid w:val="007062FE"/>
    <w:rsid w:val="0070758D"/>
    <w:rsid w:val="0071002A"/>
    <w:rsid w:val="00724212"/>
    <w:rsid w:val="007246FF"/>
    <w:rsid w:val="00726620"/>
    <w:rsid w:val="00736B39"/>
    <w:rsid w:val="0074369C"/>
    <w:rsid w:val="00745BAF"/>
    <w:rsid w:val="0077004D"/>
    <w:rsid w:val="0077040B"/>
    <w:rsid w:val="00773E8C"/>
    <w:rsid w:val="00774188"/>
    <w:rsid w:val="00777B45"/>
    <w:rsid w:val="00777F52"/>
    <w:rsid w:val="00783596"/>
    <w:rsid w:val="00792882"/>
    <w:rsid w:val="00794BF3"/>
    <w:rsid w:val="00795D1E"/>
    <w:rsid w:val="0079621C"/>
    <w:rsid w:val="00797058"/>
    <w:rsid w:val="007A44BC"/>
    <w:rsid w:val="007A72E3"/>
    <w:rsid w:val="007A7A9E"/>
    <w:rsid w:val="007B4F24"/>
    <w:rsid w:val="007B58F6"/>
    <w:rsid w:val="007C0549"/>
    <w:rsid w:val="007C1F96"/>
    <w:rsid w:val="007E14A5"/>
    <w:rsid w:val="007E21BB"/>
    <w:rsid w:val="007F24AD"/>
    <w:rsid w:val="008007F5"/>
    <w:rsid w:val="008048E9"/>
    <w:rsid w:val="00810BFD"/>
    <w:rsid w:val="008116D9"/>
    <w:rsid w:val="008167ED"/>
    <w:rsid w:val="00836A55"/>
    <w:rsid w:val="00842943"/>
    <w:rsid w:val="00843CDF"/>
    <w:rsid w:val="0084757F"/>
    <w:rsid w:val="00850631"/>
    <w:rsid w:val="00851AC2"/>
    <w:rsid w:val="0085243E"/>
    <w:rsid w:val="00852CD8"/>
    <w:rsid w:val="00853D46"/>
    <w:rsid w:val="0086155B"/>
    <w:rsid w:val="008635AE"/>
    <w:rsid w:val="008678F2"/>
    <w:rsid w:val="00877049"/>
    <w:rsid w:val="0088304A"/>
    <w:rsid w:val="00885064"/>
    <w:rsid w:val="0089137F"/>
    <w:rsid w:val="008942B2"/>
    <w:rsid w:val="00897A44"/>
    <w:rsid w:val="008A5BD0"/>
    <w:rsid w:val="008B469B"/>
    <w:rsid w:val="008C6AD7"/>
    <w:rsid w:val="008C7C64"/>
    <w:rsid w:val="008D5D6A"/>
    <w:rsid w:val="008D5F9D"/>
    <w:rsid w:val="008E0C3F"/>
    <w:rsid w:val="008F0BB8"/>
    <w:rsid w:val="008F1444"/>
    <w:rsid w:val="00900215"/>
    <w:rsid w:val="0091247F"/>
    <w:rsid w:val="0091480F"/>
    <w:rsid w:val="009229D8"/>
    <w:rsid w:val="0092463E"/>
    <w:rsid w:val="00935DF2"/>
    <w:rsid w:val="00936920"/>
    <w:rsid w:val="00937B29"/>
    <w:rsid w:val="00941447"/>
    <w:rsid w:val="0094274D"/>
    <w:rsid w:val="00943089"/>
    <w:rsid w:val="009434D9"/>
    <w:rsid w:val="00943B03"/>
    <w:rsid w:val="00951894"/>
    <w:rsid w:val="00955897"/>
    <w:rsid w:val="00957B71"/>
    <w:rsid w:val="009748F9"/>
    <w:rsid w:val="00976A7A"/>
    <w:rsid w:val="009770BB"/>
    <w:rsid w:val="00995163"/>
    <w:rsid w:val="009975A9"/>
    <w:rsid w:val="009A0FBF"/>
    <w:rsid w:val="009A6C9A"/>
    <w:rsid w:val="009A7D5E"/>
    <w:rsid w:val="009A7D81"/>
    <w:rsid w:val="009B1EF7"/>
    <w:rsid w:val="009B759A"/>
    <w:rsid w:val="009C218C"/>
    <w:rsid w:val="009C3E36"/>
    <w:rsid w:val="009C5AF9"/>
    <w:rsid w:val="009C7F64"/>
    <w:rsid w:val="009D1160"/>
    <w:rsid w:val="009D46E0"/>
    <w:rsid w:val="009D49E6"/>
    <w:rsid w:val="009D55A4"/>
    <w:rsid w:val="009D7A0F"/>
    <w:rsid w:val="009D7A8C"/>
    <w:rsid w:val="009D7F1F"/>
    <w:rsid w:val="009E132E"/>
    <w:rsid w:val="00A054DA"/>
    <w:rsid w:val="00A072C3"/>
    <w:rsid w:val="00A21151"/>
    <w:rsid w:val="00A22B97"/>
    <w:rsid w:val="00A331E6"/>
    <w:rsid w:val="00A35ECD"/>
    <w:rsid w:val="00A42814"/>
    <w:rsid w:val="00A43264"/>
    <w:rsid w:val="00A44C87"/>
    <w:rsid w:val="00A46D23"/>
    <w:rsid w:val="00A47692"/>
    <w:rsid w:val="00A53233"/>
    <w:rsid w:val="00A535BD"/>
    <w:rsid w:val="00A62E3D"/>
    <w:rsid w:val="00A64B24"/>
    <w:rsid w:val="00A67608"/>
    <w:rsid w:val="00A72348"/>
    <w:rsid w:val="00A7392A"/>
    <w:rsid w:val="00A8637B"/>
    <w:rsid w:val="00A91ED3"/>
    <w:rsid w:val="00A9535C"/>
    <w:rsid w:val="00AA7470"/>
    <w:rsid w:val="00AB0063"/>
    <w:rsid w:val="00AB08C1"/>
    <w:rsid w:val="00AB52AD"/>
    <w:rsid w:val="00AC06CE"/>
    <w:rsid w:val="00AC2C10"/>
    <w:rsid w:val="00AC6343"/>
    <w:rsid w:val="00AD1B3B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1253"/>
    <w:rsid w:val="00B33391"/>
    <w:rsid w:val="00B54A34"/>
    <w:rsid w:val="00B55180"/>
    <w:rsid w:val="00B57100"/>
    <w:rsid w:val="00B62096"/>
    <w:rsid w:val="00B661F5"/>
    <w:rsid w:val="00B805BB"/>
    <w:rsid w:val="00B8537C"/>
    <w:rsid w:val="00B9146D"/>
    <w:rsid w:val="00B91F75"/>
    <w:rsid w:val="00B94D76"/>
    <w:rsid w:val="00BA4E2A"/>
    <w:rsid w:val="00BA7525"/>
    <w:rsid w:val="00BB1C6B"/>
    <w:rsid w:val="00BB1DC1"/>
    <w:rsid w:val="00BC2C13"/>
    <w:rsid w:val="00BC31F3"/>
    <w:rsid w:val="00BC3335"/>
    <w:rsid w:val="00BC6720"/>
    <w:rsid w:val="00BC69D9"/>
    <w:rsid w:val="00BD0CF6"/>
    <w:rsid w:val="00BD1854"/>
    <w:rsid w:val="00BD7AAD"/>
    <w:rsid w:val="00BE355E"/>
    <w:rsid w:val="00BF16DD"/>
    <w:rsid w:val="00C01DA1"/>
    <w:rsid w:val="00C0227D"/>
    <w:rsid w:val="00C05A1A"/>
    <w:rsid w:val="00C07BE4"/>
    <w:rsid w:val="00C1371C"/>
    <w:rsid w:val="00C16EFC"/>
    <w:rsid w:val="00C203A8"/>
    <w:rsid w:val="00C21467"/>
    <w:rsid w:val="00C230DE"/>
    <w:rsid w:val="00C2651E"/>
    <w:rsid w:val="00C26EF3"/>
    <w:rsid w:val="00C31952"/>
    <w:rsid w:val="00C45FAC"/>
    <w:rsid w:val="00C47DFD"/>
    <w:rsid w:val="00C51C24"/>
    <w:rsid w:val="00C5569E"/>
    <w:rsid w:val="00C5654B"/>
    <w:rsid w:val="00C57CA8"/>
    <w:rsid w:val="00C60AC2"/>
    <w:rsid w:val="00C61BAA"/>
    <w:rsid w:val="00C65A91"/>
    <w:rsid w:val="00C76212"/>
    <w:rsid w:val="00C81A1C"/>
    <w:rsid w:val="00C831BB"/>
    <w:rsid w:val="00C85426"/>
    <w:rsid w:val="00C91BE9"/>
    <w:rsid w:val="00C9206B"/>
    <w:rsid w:val="00C96FE3"/>
    <w:rsid w:val="00CA1013"/>
    <w:rsid w:val="00CB2CC3"/>
    <w:rsid w:val="00CC15A8"/>
    <w:rsid w:val="00CC5EE6"/>
    <w:rsid w:val="00CC6DAD"/>
    <w:rsid w:val="00CD1667"/>
    <w:rsid w:val="00CD471A"/>
    <w:rsid w:val="00CE01C1"/>
    <w:rsid w:val="00CE13A9"/>
    <w:rsid w:val="00CF30E8"/>
    <w:rsid w:val="00D11803"/>
    <w:rsid w:val="00D17260"/>
    <w:rsid w:val="00D22658"/>
    <w:rsid w:val="00D234C4"/>
    <w:rsid w:val="00D3163B"/>
    <w:rsid w:val="00D3779F"/>
    <w:rsid w:val="00D41305"/>
    <w:rsid w:val="00D47042"/>
    <w:rsid w:val="00D534BE"/>
    <w:rsid w:val="00D56CEC"/>
    <w:rsid w:val="00D605DD"/>
    <w:rsid w:val="00D60C67"/>
    <w:rsid w:val="00D612B4"/>
    <w:rsid w:val="00D72663"/>
    <w:rsid w:val="00D73F3C"/>
    <w:rsid w:val="00D74240"/>
    <w:rsid w:val="00D7439B"/>
    <w:rsid w:val="00D75C8B"/>
    <w:rsid w:val="00D77EBC"/>
    <w:rsid w:val="00D819DD"/>
    <w:rsid w:val="00D8237D"/>
    <w:rsid w:val="00D84DA0"/>
    <w:rsid w:val="00DA6FC9"/>
    <w:rsid w:val="00DA78A0"/>
    <w:rsid w:val="00DB3363"/>
    <w:rsid w:val="00DB3B32"/>
    <w:rsid w:val="00DB4EBC"/>
    <w:rsid w:val="00DB66BF"/>
    <w:rsid w:val="00DB7C35"/>
    <w:rsid w:val="00DC465F"/>
    <w:rsid w:val="00DC54C2"/>
    <w:rsid w:val="00DD267E"/>
    <w:rsid w:val="00DD7B32"/>
    <w:rsid w:val="00DE6D25"/>
    <w:rsid w:val="00DF5C73"/>
    <w:rsid w:val="00E00BB0"/>
    <w:rsid w:val="00E061D9"/>
    <w:rsid w:val="00E16238"/>
    <w:rsid w:val="00E21817"/>
    <w:rsid w:val="00E21C6A"/>
    <w:rsid w:val="00E54410"/>
    <w:rsid w:val="00E545F9"/>
    <w:rsid w:val="00E60538"/>
    <w:rsid w:val="00E61161"/>
    <w:rsid w:val="00E6246B"/>
    <w:rsid w:val="00E646FF"/>
    <w:rsid w:val="00E73AAF"/>
    <w:rsid w:val="00E807E8"/>
    <w:rsid w:val="00E80EF5"/>
    <w:rsid w:val="00E818AB"/>
    <w:rsid w:val="00E839F4"/>
    <w:rsid w:val="00E849E7"/>
    <w:rsid w:val="00E84DA6"/>
    <w:rsid w:val="00E86D90"/>
    <w:rsid w:val="00E900AA"/>
    <w:rsid w:val="00E9760D"/>
    <w:rsid w:val="00EA0142"/>
    <w:rsid w:val="00EA35B2"/>
    <w:rsid w:val="00EA7E7F"/>
    <w:rsid w:val="00EB2738"/>
    <w:rsid w:val="00EB7106"/>
    <w:rsid w:val="00EC4E61"/>
    <w:rsid w:val="00EC6BAC"/>
    <w:rsid w:val="00ED2A8F"/>
    <w:rsid w:val="00ED3BF7"/>
    <w:rsid w:val="00ED4DF6"/>
    <w:rsid w:val="00ED6941"/>
    <w:rsid w:val="00EE037F"/>
    <w:rsid w:val="00EE763C"/>
    <w:rsid w:val="00EF0CCC"/>
    <w:rsid w:val="00EF1AAD"/>
    <w:rsid w:val="00F01538"/>
    <w:rsid w:val="00F01FE0"/>
    <w:rsid w:val="00F030DB"/>
    <w:rsid w:val="00F077DE"/>
    <w:rsid w:val="00F07CE5"/>
    <w:rsid w:val="00F12306"/>
    <w:rsid w:val="00F154F9"/>
    <w:rsid w:val="00F17024"/>
    <w:rsid w:val="00F174F9"/>
    <w:rsid w:val="00F22B67"/>
    <w:rsid w:val="00F300D7"/>
    <w:rsid w:val="00F3789B"/>
    <w:rsid w:val="00F41180"/>
    <w:rsid w:val="00F42F8E"/>
    <w:rsid w:val="00F44D01"/>
    <w:rsid w:val="00F45E39"/>
    <w:rsid w:val="00F61173"/>
    <w:rsid w:val="00F63316"/>
    <w:rsid w:val="00F70A1F"/>
    <w:rsid w:val="00F70D37"/>
    <w:rsid w:val="00F7144E"/>
    <w:rsid w:val="00F72963"/>
    <w:rsid w:val="00F853FE"/>
    <w:rsid w:val="00F86A3C"/>
    <w:rsid w:val="00F9054A"/>
    <w:rsid w:val="00F963C4"/>
    <w:rsid w:val="00FB06DB"/>
    <w:rsid w:val="00FB5799"/>
    <w:rsid w:val="00FB7135"/>
    <w:rsid w:val="00FB782D"/>
    <w:rsid w:val="00FC50F2"/>
    <w:rsid w:val="00FC6575"/>
    <w:rsid w:val="00FD1DD8"/>
    <w:rsid w:val="00FD4016"/>
    <w:rsid w:val="00FD4085"/>
    <w:rsid w:val="00FD757E"/>
    <w:rsid w:val="00FE3845"/>
    <w:rsid w:val="00FE465C"/>
    <w:rsid w:val="00FF63BF"/>
    <w:rsid w:val="01BDACDC"/>
    <w:rsid w:val="04CBE850"/>
    <w:rsid w:val="0690C932"/>
    <w:rsid w:val="0862A62E"/>
    <w:rsid w:val="0894F7A8"/>
    <w:rsid w:val="0B8C4D20"/>
    <w:rsid w:val="0C1DD398"/>
    <w:rsid w:val="0F9936F2"/>
    <w:rsid w:val="147F8AD0"/>
    <w:rsid w:val="171B0DDA"/>
    <w:rsid w:val="1B4EED0A"/>
    <w:rsid w:val="26EA3309"/>
    <w:rsid w:val="2719CE10"/>
    <w:rsid w:val="2A828C6C"/>
    <w:rsid w:val="2D3E0571"/>
    <w:rsid w:val="2D695833"/>
    <w:rsid w:val="312BDB8D"/>
    <w:rsid w:val="329D4B62"/>
    <w:rsid w:val="39AFBC0B"/>
    <w:rsid w:val="3E4A410A"/>
    <w:rsid w:val="3F10AE84"/>
    <w:rsid w:val="4427D2DB"/>
    <w:rsid w:val="450EDCBC"/>
    <w:rsid w:val="4906C4D3"/>
    <w:rsid w:val="49103BCD"/>
    <w:rsid w:val="4B10A6BD"/>
    <w:rsid w:val="5131D3E6"/>
    <w:rsid w:val="527843A1"/>
    <w:rsid w:val="59E81455"/>
    <w:rsid w:val="5B6DC604"/>
    <w:rsid w:val="60A05C08"/>
    <w:rsid w:val="656CEBF2"/>
    <w:rsid w:val="66D3246D"/>
    <w:rsid w:val="6AAE1E5C"/>
    <w:rsid w:val="6F5D90E5"/>
    <w:rsid w:val="70AE00E5"/>
    <w:rsid w:val="74277AC5"/>
    <w:rsid w:val="75C967F6"/>
    <w:rsid w:val="79D439F8"/>
    <w:rsid w:val="7CB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6B453F49-0066-456D-A62D-5D7998A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C0437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0437"/>
    <w:rPr>
      <w:rFonts w:ascii="Lato" w:eastAsia="Lato" w:hAnsi="Lato" w:cs="Lato"/>
      <w:lang w:val="en-US"/>
    </w:rPr>
  </w:style>
  <w:style w:type="paragraph" w:customStyle="1" w:styleId="TableParagraph">
    <w:name w:val="Table Paragraph"/>
    <w:basedOn w:val="Normal"/>
    <w:uiPriority w:val="1"/>
    <w:qFormat/>
    <w:rsid w:val="008942B2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07E8"/>
  </w:style>
  <w:style w:type="character" w:customStyle="1" w:styleId="eop">
    <w:name w:val="eop"/>
    <w:basedOn w:val="DefaultParagraphFont"/>
    <w:rsid w:val="00E8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F47B6"/>
    <w:rsid w:val="00867E02"/>
    <w:rsid w:val="008C0C19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40DC9-4856-43A5-96D1-0CEBF6C3247F}">
  <ds:schemaRefs>
    <ds:schemaRef ds:uri="http://schemas.microsoft.com/office/2006/metadata/properties"/>
    <ds:schemaRef ds:uri="http://schemas.microsoft.com/office/2006/documentManagement/types"/>
    <ds:schemaRef ds:uri="b64e5800-79ef-404e-ae0f-2769dfe91c1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babdd36-4016-4489-ad5f-14df8cd2a9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D4C339-93A9-4B8B-A41A-89796BF3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ECE1F-A5F9-45D7-BFA2-AE05AFC9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13845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3</cp:revision>
  <cp:lastPrinted>2015-09-28T18:56:00Z</cp:lastPrinted>
  <dcterms:created xsi:type="dcterms:W3CDTF">2025-03-11T15:12:00Z</dcterms:created>
  <dcterms:modified xsi:type="dcterms:W3CDTF">2025-03-11T16:41:00Z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