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8466" w14:textId="44F7A8D5" w:rsidR="008E3323" w:rsidRPr="00081C10" w:rsidRDefault="00081C10" w:rsidP="00081C10">
      <w:pPr>
        <w:jc w:val="both"/>
        <w:rPr>
          <w:rFonts w:ascii="Arial" w:hAnsi="Arial" w:cs="Arial"/>
          <w:b/>
          <w:color w:val="000000"/>
          <w:sz w:val="30"/>
          <w:szCs w:val="30"/>
          <w:lang w:eastAsia="en-GB"/>
        </w:rPr>
      </w:pPr>
      <w:r w:rsidRPr="00081C10">
        <w:rPr>
          <w:rFonts w:ascii="Arial" w:hAnsi="Arial" w:cs="Arial"/>
          <w:b/>
          <w:color w:val="000000"/>
          <w:sz w:val="30"/>
          <w:szCs w:val="30"/>
          <w:lang w:eastAsia="en-GB"/>
        </w:rPr>
        <w:t>Edinburgh College Terms and conditions for the payment of tuition fees – guidance for students</w:t>
      </w:r>
    </w:p>
    <w:p w14:paraId="7E637C1E" w14:textId="77777777" w:rsidR="00C808B3" w:rsidRDefault="00C808B3" w:rsidP="00C808B3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99D7466" w14:textId="795237F8" w:rsidR="002F4AA0" w:rsidRPr="00991381" w:rsidRDefault="00C808B3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he </w:t>
      </w:r>
      <w:r w:rsidR="005B3AD4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Edinburgh 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>College Tuition Fee Policy states that all fees are payable in advance, unless funded by the Student Awards Agency for Scotland (SAAS) or Student Finance (Engla</w:t>
      </w:r>
      <w:r w:rsidR="00CC08AE" w:rsidRPr="00991381">
        <w:rPr>
          <w:rFonts w:ascii="Arial" w:hAnsi="Arial" w:cs="Arial"/>
          <w:color w:val="000000"/>
          <w:sz w:val="22"/>
          <w:szCs w:val="22"/>
          <w:lang w:eastAsia="en-GB"/>
        </w:rPr>
        <w:t>nd, Northern Ireland and Wales)</w:t>
      </w:r>
      <w:r w:rsidR="003B676C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are non-returnable except in exceptional circumstances and subject to annual revision. </w:t>
      </w:r>
      <w:r w:rsidR="005D7A98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The College will waive the fees of any student entitled to support under the Scottish Funding Council (SFC) Fee Waiver Grant Policy when studying on an eligible course. 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2F4AA0" w:rsidRPr="00991381">
        <w:rPr>
          <w:rFonts w:ascii="Arial" w:hAnsi="Arial" w:cs="Arial"/>
          <w:color w:val="000000"/>
          <w:sz w:val="22"/>
          <w:szCs w:val="22"/>
          <w:lang w:eastAsia="en-GB"/>
        </w:rPr>
        <w:t>Other</w:t>
      </w:r>
      <w:r w:rsidR="0070019B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part time students may be eligible for a part-time fee grant from SAAS</w:t>
      </w:r>
      <w:r w:rsidR="00CC08AE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towards to cost of tuition</w:t>
      </w:r>
      <w:r w:rsidR="002F4AA0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fees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, or for an Individual 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Training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Account (I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>A) from Skills Development Scotland.</w:t>
      </w:r>
      <w:r w:rsidR="00FE2FF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For additional information, please refer </w:t>
      </w:r>
      <w:r w:rsidR="009A6475" w:rsidRPr="00991381">
        <w:rPr>
          <w:rFonts w:ascii="Arial" w:hAnsi="Arial" w:cs="Arial"/>
          <w:color w:val="000000"/>
          <w:sz w:val="22"/>
          <w:szCs w:val="22"/>
          <w:lang w:eastAsia="en-GB"/>
        </w:rPr>
        <w:t>to</w:t>
      </w:r>
      <w:r w:rsidR="00F9005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hyperlink r:id="rId7" w:history="1">
        <w:r w:rsidR="00F90058" w:rsidRPr="00F90058">
          <w:rPr>
            <w:rStyle w:val="Hyperlink"/>
            <w:rFonts w:ascii="Arial" w:hAnsi="Arial" w:cs="Arial"/>
            <w:sz w:val="22"/>
            <w:szCs w:val="22"/>
            <w:lang w:eastAsia="en-GB"/>
          </w:rPr>
          <w:t>Student Funding and Fees</w:t>
        </w:r>
      </w:hyperlink>
      <w:r w:rsidR="00F9005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FE2FF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on the website. </w:t>
      </w:r>
    </w:p>
    <w:p w14:paraId="38873D4E" w14:textId="77777777" w:rsidR="00BA6063" w:rsidRPr="00991381" w:rsidRDefault="00BA6063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Students are responsible for providing correct information where their fees may be funded by Fee Waiver, SAAS, I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A, Employers or Sponsors. If </w:t>
      </w:r>
      <w:r w:rsidR="00791FA1" w:rsidRPr="00991381">
        <w:rPr>
          <w:rFonts w:ascii="Arial" w:hAnsi="Arial" w:cs="Arial"/>
          <w:color w:val="000000"/>
          <w:sz w:val="22"/>
          <w:szCs w:val="22"/>
          <w:lang w:eastAsia="en-GB"/>
        </w:rPr>
        <w:t>in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correct </w:t>
      </w:r>
      <w:r w:rsidR="00D873FD" w:rsidRPr="00991381">
        <w:rPr>
          <w:rFonts w:ascii="Arial" w:hAnsi="Arial" w:cs="Arial"/>
          <w:color w:val="000000"/>
          <w:sz w:val="22"/>
          <w:szCs w:val="22"/>
          <w:lang w:eastAsia="en-GB"/>
        </w:rPr>
        <w:t>or late information is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provided</w:t>
      </w:r>
      <w:r w:rsidR="005F760F" w:rsidRPr="00991381">
        <w:rPr>
          <w:rFonts w:ascii="Arial" w:hAnsi="Arial" w:cs="Arial"/>
          <w:color w:val="000000"/>
          <w:sz w:val="22"/>
          <w:szCs w:val="22"/>
          <w:lang w:eastAsia="en-GB"/>
        </w:rPr>
        <w:t>, the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student will be held personally liable for</w:t>
      </w:r>
      <w:r w:rsidR="00D873FD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any outstanding fee payments.</w:t>
      </w:r>
    </w:p>
    <w:p w14:paraId="3747A16B" w14:textId="44D8E7A2" w:rsidR="005D7A98" w:rsidRPr="00D55542" w:rsidRDefault="00D55542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D55542">
        <w:rPr>
          <w:rFonts w:ascii="Arial" w:hAnsi="Arial" w:cs="Arial"/>
          <w:color w:val="000000"/>
          <w:sz w:val="22"/>
          <w:szCs w:val="22"/>
          <w:lang w:eastAsia="en-GB"/>
        </w:rPr>
        <w:t>There may be support for the payment of fees from government training schemes. Please contact student services for further guidance</w:t>
      </w:r>
      <w:r w:rsidRPr="00D55542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520855AB" w14:textId="77777777" w:rsidR="00E22C61" w:rsidRPr="00991381" w:rsidRDefault="00E22C61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St</w:t>
      </w:r>
      <w:proofErr w:type="spellEnd"/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udents starting pr</w:t>
      </w:r>
      <w:r w:rsidR="005D7A98" w:rsidRPr="00991381">
        <w:rPr>
          <w:rFonts w:ascii="Arial" w:hAnsi="Arial" w:cs="Arial"/>
          <w:color w:val="000000"/>
          <w:sz w:val="22"/>
          <w:szCs w:val="22"/>
          <w:lang w:eastAsia="en-GB"/>
        </w:rPr>
        <w:t>ogrammes of study should be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aware that tuition fees may increase year on year. </w:t>
      </w:r>
    </w:p>
    <w:p w14:paraId="24CB6C1F" w14:textId="77777777" w:rsidR="00EA3CE9" w:rsidRPr="00991381" w:rsidRDefault="00E22C61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The payment of fees is th</w:t>
      </w:r>
      <w:r w:rsidR="00CC08AE" w:rsidRPr="00991381">
        <w:rPr>
          <w:rFonts w:ascii="Arial" w:hAnsi="Arial" w:cs="Arial"/>
          <w:color w:val="000000"/>
          <w:sz w:val="22"/>
          <w:szCs w:val="22"/>
          <w:lang w:eastAsia="en-GB"/>
        </w:rPr>
        <w:t>e responsibility of the student. If fees are to be funded by SAAS</w:t>
      </w:r>
      <w:r w:rsidR="0099138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(including the part-time fee grant), </w:t>
      </w:r>
      <w:r w:rsidR="00CC08AE" w:rsidRPr="00991381">
        <w:rPr>
          <w:rFonts w:ascii="Arial" w:hAnsi="Arial" w:cs="Arial"/>
          <w:color w:val="000000"/>
          <w:sz w:val="22"/>
          <w:szCs w:val="22"/>
          <w:lang w:eastAsia="en-GB"/>
        </w:rPr>
        <w:t>Student Finance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>, Fee Waiver or I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="00C23EA3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A, it is the responsibility of 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>the student to appl</w:t>
      </w:r>
      <w:r w:rsidR="005B1E68" w:rsidRPr="00991381">
        <w:rPr>
          <w:rFonts w:ascii="Arial" w:hAnsi="Arial" w:cs="Arial"/>
          <w:color w:val="000000"/>
          <w:sz w:val="22"/>
          <w:szCs w:val="22"/>
          <w:lang w:eastAsia="en-GB"/>
        </w:rPr>
        <w:t>y to ensure funding is in place before the start of the course and inform the College</w:t>
      </w:r>
      <w:r w:rsidR="0099138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of their award</w:t>
      </w:r>
      <w:r w:rsidR="005B1E68" w:rsidRPr="00991381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0F2AB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0F2AB4" w:rsidRPr="003B676C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If not awarded then the stud</w:t>
      </w:r>
      <w:r w:rsidR="003B676C" w:rsidRPr="003B676C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ent will be liable for the fees </w:t>
      </w:r>
      <w:r w:rsidR="007366F1">
        <w:rPr>
          <w:rFonts w:ascii="Arial" w:hAnsi="Arial" w:cs="Arial"/>
          <w:b/>
          <w:color w:val="000000"/>
          <w:sz w:val="22"/>
          <w:szCs w:val="22"/>
          <w:lang w:eastAsia="en-GB"/>
        </w:rPr>
        <w:t>even</w:t>
      </w:r>
      <w:r w:rsidR="003B676C" w:rsidRPr="003B676C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if the student then decides to withdraw.</w:t>
      </w:r>
    </w:p>
    <w:p w14:paraId="2AFFA36D" w14:textId="77777777" w:rsidR="00EA3CE9" w:rsidRPr="00A72327" w:rsidRDefault="00EA3CE9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Where a student’s Employer or Sponsor is paying fees, it is the responsibility of the student to arrange for them to provide written authorisation to the College</w:t>
      </w:r>
      <w:r w:rsidR="005B1E68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before the start of the course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. I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>n the event of the Employer/Sponsor defaulting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E22C61" w:rsidRPr="00A7232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the student will be held personally liable for </w:t>
      </w:r>
      <w:r w:rsidRPr="00A7232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the </w:t>
      </w:r>
      <w:r w:rsidR="005B1E68" w:rsidRPr="00A72327">
        <w:rPr>
          <w:rFonts w:ascii="Arial" w:hAnsi="Arial" w:cs="Arial"/>
          <w:b/>
          <w:color w:val="000000"/>
          <w:sz w:val="22"/>
          <w:szCs w:val="22"/>
          <w:lang w:eastAsia="en-GB"/>
        </w:rPr>
        <w:t>fees</w:t>
      </w:r>
      <w:r w:rsidR="00E22C61" w:rsidRPr="00A72327">
        <w:rPr>
          <w:rFonts w:ascii="Arial" w:hAnsi="Arial" w:cs="Arial"/>
          <w:b/>
          <w:color w:val="000000"/>
          <w:sz w:val="22"/>
          <w:szCs w:val="22"/>
          <w:lang w:eastAsia="en-GB"/>
        </w:rPr>
        <w:t>.</w:t>
      </w:r>
    </w:p>
    <w:p w14:paraId="1AC55B3F" w14:textId="3E98D54E" w:rsidR="00431539" w:rsidRPr="00431539" w:rsidRDefault="00E22C61" w:rsidP="0043153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If </w:t>
      </w:r>
      <w:proofErr w:type="spellStart"/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self funding</w:t>
      </w:r>
      <w:proofErr w:type="spellEnd"/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students have not paid in full or do not have an approved </w:t>
      </w:r>
      <w:r w:rsidR="00145368">
        <w:rPr>
          <w:rFonts w:ascii="Arial" w:hAnsi="Arial" w:cs="Arial"/>
          <w:color w:val="000000"/>
          <w:sz w:val="22"/>
          <w:szCs w:val="22"/>
          <w:lang w:eastAsia="en-GB"/>
        </w:rPr>
        <w:t>instalment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plan </w:t>
      </w:r>
      <w:r w:rsidRPr="003B0157">
        <w:rPr>
          <w:rFonts w:ascii="Arial" w:hAnsi="Arial" w:cs="Arial"/>
          <w:color w:val="000000"/>
          <w:sz w:val="22"/>
          <w:szCs w:val="22"/>
          <w:lang w:eastAsia="en-GB"/>
        </w:rPr>
        <w:t>in place by the start of their course they will no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t be allowed to commence their studies.</w:t>
      </w:r>
    </w:p>
    <w:p w14:paraId="613BF0D6" w14:textId="3D7339A3" w:rsidR="0094783C" w:rsidRPr="00991381" w:rsidRDefault="0094783C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Failure to adhere to a</w:t>
      </w:r>
      <w:r w:rsid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n instalment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plan may result in the withdrawal of the instalments facility and full payment will become due.</w:t>
      </w:r>
    </w:p>
    <w:p w14:paraId="53933308" w14:textId="5F6B6E67" w:rsidR="00333007" w:rsidRPr="00145368" w:rsidRDefault="00145368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Refunds will only be issued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if the student meets the </w:t>
      </w:r>
      <w:r w:rsidR="00743070">
        <w:rPr>
          <w:rFonts w:ascii="Arial" w:hAnsi="Arial" w:cs="Arial"/>
          <w:color w:val="000000"/>
          <w:sz w:val="22"/>
          <w:szCs w:val="22"/>
          <w:lang w:eastAsia="en-GB"/>
        </w:rPr>
        <w:t xml:space="preserve">refund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cut off dates as specified in the College’s Tuition Fee Policy. A 10% administration charge will be deducted.</w:t>
      </w:r>
    </w:p>
    <w:p w14:paraId="60F4ADA3" w14:textId="62B1CD24" w:rsidR="00E22C61" w:rsidRPr="00991381" w:rsidRDefault="00AB3393" w:rsidP="00174E11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eastAsia="en-GB"/>
        </w:rPr>
      </w:pP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Refunds are not granted where a student remains on a course but claims a refund on the basis of a change in circumstances.</w:t>
      </w:r>
      <w:r w:rsid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 </w:t>
      </w:r>
    </w:p>
    <w:p w14:paraId="25B63CFA" w14:textId="77777777" w:rsidR="00333007" w:rsidRPr="00145368" w:rsidRDefault="00E22C61" w:rsidP="00174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>A full refund (100%) will be offered if a course</w:t>
      </w:r>
      <w:r w:rsidR="00A83BFA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does not run / is</w:t>
      </w: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cancelled by the College. </w:t>
      </w:r>
    </w:p>
    <w:p w14:paraId="5B4E18D6" w14:textId="70C555CB" w:rsidR="00E22C61" w:rsidRPr="00145368" w:rsidRDefault="00E22C61" w:rsidP="00174E1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Where a student withdraws </w:t>
      </w:r>
      <w:r w:rsidR="00A83BFA" w:rsidRPr="00145368">
        <w:rPr>
          <w:rFonts w:ascii="Arial" w:hAnsi="Arial" w:cs="Arial"/>
          <w:color w:val="000000"/>
          <w:sz w:val="22"/>
          <w:szCs w:val="22"/>
          <w:lang w:eastAsia="en-GB"/>
        </w:rPr>
        <w:t>or is withdrawn</w:t>
      </w:r>
      <w:r w:rsidR="00145368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from a course, </w:t>
      </w:r>
      <w:r w:rsidR="00A83BFA" w:rsidRPr="00145368">
        <w:rPr>
          <w:rFonts w:ascii="Arial" w:hAnsi="Arial" w:cs="Arial"/>
          <w:color w:val="000000"/>
          <w:sz w:val="22"/>
          <w:szCs w:val="22"/>
          <w:lang w:eastAsia="en-GB"/>
        </w:rPr>
        <w:t>by the College</w:t>
      </w:r>
      <w:r w:rsidR="00145368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1873FD" w:rsidRPr="00145368">
        <w:rPr>
          <w:rFonts w:ascii="Arial" w:hAnsi="Arial" w:cs="Arial"/>
          <w:color w:val="000000"/>
          <w:sz w:val="22"/>
          <w:szCs w:val="22"/>
          <w:lang w:eastAsia="en-GB"/>
        </w:rPr>
        <w:t>for non-attendance or non-submission of work</w:t>
      </w:r>
      <w:r w:rsidR="00145368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prior to paying the fees </w:t>
      </w:r>
      <w:r w:rsidR="00A83BFA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in full, </w:t>
      </w:r>
      <w:r w:rsidR="001873FD" w:rsidRPr="00145368">
        <w:rPr>
          <w:rFonts w:ascii="Arial" w:hAnsi="Arial" w:cs="Arial"/>
          <w:color w:val="000000"/>
          <w:sz w:val="22"/>
          <w:szCs w:val="22"/>
          <w:lang w:eastAsia="en-GB"/>
        </w:rPr>
        <w:t>they will remain liable for any outstanding fees</w:t>
      </w:r>
      <w:r w:rsidR="00145368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if the withdrawal date is after the refund cut off dates</w:t>
      </w:r>
      <w:r w:rsidR="001873FD"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="001873FD" w:rsidRPr="00145368">
        <w:rPr>
          <w:rFonts w:ascii="Arial" w:hAnsi="Arial" w:cs="Arial"/>
          <w:sz w:val="22"/>
          <w:szCs w:val="22"/>
        </w:rPr>
        <w:t>will be pursued via our Credit Control Procedures.</w:t>
      </w:r>
    </w:p>
    <w:p w14:paraId="5E1BB7A9" w14:textId="77777777" w:rsidR="00E22C61" w:rsidRPr="00991381" w:rsidRDefault="00004C12" w:rsidP="00174E1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If a student expects to use an </w:t>
      </w:r>
      <w:r w:rsidR="00C808B3" w:rsidRPr="00145368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 w:rsidR="000B58A6" w:rsidRPr="00145368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="00C808B3" w:rsidRPr="00145368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Pr="00145368">
        <w:rPr>
          <w:rFonts w:ascii="Arial" w:hAnsi="Arial" w:cs="Arial"/>
          <w:color w:val="000000"/>
          <w:sz w:val="22"/>
          <w:szCs w:val="22"/>
          <w:lang w:eastAsia="en-GB"/>
        </w:rPr>
        <w:t xml:space="preserve"> towards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a course fee and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then does not </w:t>
      </w:r>
      <w:r w:rsidR="00A83BFA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provide </w:t>
      </w:r>
      <w:r w:rsidR="00EA3CE9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the 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 xml:space="preserve">relevant evidence </w:t>
      </w:r>
      <w:r w:rsidR="00F62ACE">
        <w:rPr>
          <w:rFonts w:ascii="Arial" w:hAnsi="Arial" w:cs="Arial"/>
          <w:color w:val="000000"/>
          <w:sz w:val="22"/>
          <w:szCs w:val="22"/>
          <w:lang w:eastAsia="en-GB"/>
        </w:rPr>
        <w:t xml:space="preserve">within </w:t>
      </w:r>
      <w:r w:rsidR="00F72D82">
        <w:rPr>
          <w:rFonts w:ascii="Arial" w:hAnsi="Arial" w:cs="Arial"/>
          <w:color w:val="000000"/>
          <w:sz w:val="22"/>
          <w:szCs w:val="22"/>
          <w:lang w:eastAsia="en-GB"/>
        </w:rPr>
        <w:t>4</w:t>
      </w:r>
      <w:r w:rsidR="00F62ACE">
        <w:rPr>
          <w:rFonts w:ascii="Arial" w:hAnsi="Arial" w:cs="Arial"/>
          <w:color w:val="000000"/>
          <w:sz w:val="22"/>
          <w:szCs w:val="22"/>
          <w:lang w:eastAsia="en-GB"/>
        </w:rPr>
        <w:t xml:space="preserve"> weeks of applying for an IT</w:t>
      </w:r>
      <w:r w:rsidR="007D4827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="00F62ACE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the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student will be</w:t>
      </w:r>
      <w:r w:rsidR="00E22C61"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 liable for the ful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 xml:space="preserve">l </w:t>
      </w:r>
      <w:r w:rsidR="000B58A6">
        <w:rPr>
          <w:rFonts w:ascii="Arial" w:hAnsi="Arial" w:cs="Arial"/>
          <w:color w:val="000000"/>
          <w:sz w:val="22"/>
          <w:szCs w:val="22"/>
          <w:lang w:eastAsia="en-GB"/>
        </w:rPr>
        <w:t>cost of the course</w:t>
      </w:r>
      <w:r w:rsidRPr="00991381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082ED890" w14:textId="77777777" w:rsidR="00F72D82" w:rsidRPr="00991381" w:rsidRDefault="00F72D82" w:rsidP="00174E1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Results will be withheld until full payment has been received.</w:t>
      </w:r>
    </w:p>
    <w:p w14:paraId="0836CBDB" w14:textId="77777777" w:rsidR="00C808B3" w:rsidRDefault="00E22C61" w:rsidP="003B676C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991381">
        <w:rPr>
          <w:sz w:val="22"/>
          <w:szCs w:val="22"/>
        </w:rPr>
        <w:t xml:space="preserve">Where fees are not paid according to the </w:t>
      </w:r>
      <w:r w:rsidR="00DF6FBE" w:rsidRPr="00991381">
        <w:rPr>
          <w:sz w:val="22"/>
          <w:szCs w:val="22"/>
        </w:rPr>
        <w:t>C</w:t>
      </w:r>
      <w:r w:rsidRPr="00991381">
        <w:rPr>
          <w:sz w:val="22"/>
          <w:szCs w:val="22"/>
        </w:rPr>
        <w:t xml:space="preserve">ollege </w:t>
      </w:r>
      <w:r w:rsidR="00DF6FBE" w:rsidRPr="00991381">
        <w:rPr>
          <w:sz w:val="22"/>
          <w:szCs w:val="22"/>
        </w:rPr>
        <w:t>P</w:t>
      </w:r>
      <w:r w:rsidRPr="00991381">
        <w:rPr>
          <w:sz w:val="22"/>
          <w:szCs w:val="22"/>
        </w:rPr>
        <w:t>olicy</w:t>
      </w:r>
      <w:r w:rsidR="00AB3393" w:rsidRPr="00991381">
        <w:rPr>
          <w:sz w:val="22"/>
          <w:szCs w:val="22"/>
        </w:rPr>
        <w:t>,</w:t>
      </w:r>
      <w:r w:rsidR="00DF6FBE" w:rsidRPr="00991381">
        <w:rPr>
          <w:sz w:val="22"/>
          <w:szCs w:val="22"/>
        </w:rPr>
        <w:t xml:space="preserve"> </w:t>
      </w:r>
      <w:r w:rsidRPr="00991381">
        <w:rPr>
          <w:sz w:val="22"/>
          <w:szCs w:val="22"/>
        </w:rPr>
        <w:t xml:space="preserve">credit control measures </w:t>
      </w:r>
      <w:r w:rsidR="00AB3393" w:rsidRPr="00991381">
        <w:rPr>
          <w:sz w:val="22"/>
          <w:szCs w:val="22"/>
        </w:rPr>
        <w:t xml:space="preserve">will be implemented </w:t>
      </w:r>
      <w:r w:rsidR="004A0FE4">
        <w:rPr>
          <w:sz w:val="22"/>
          <w:szCs w:val="22"/>
        </w:rPr>
        <w:t>which may include</w:t>
      </w:r>
      <w:r w:rsidR="00AB3393" w:rsidRPr="00991381">
        <w:rPr>
          <w:sz w:val="22"/>
          <w:szCs w:val="22"/>
        </w:rPr>
        <w:t>;</w:t>
      </w:r>
      <w:r w:rsidRPr="00991381">
        <w:rPr>
          <w:sz w:val="22"/>
          <w:szCs w:val="22"/>
        </w:rPr>
        <w:t xml:space="preserve"> issuing </w:t>
      </w:r>
      <w:r w:rsidR="00AB3393" w:rsidRPr="00991381">
        <w:rPr>
          <w:sz w:val="22"/>
          <w:szCs w:val="22"/>
        </w:rPr>
        <w:t xml:space="preserve">debtor </w:t>
      </w:r>
      <w:r w:rsidRPr="00991381">
        <w:rPr>
          <w:sz w:val="22"/>
          <w:szCs w:val="22"/>
        </w:rPr>
        <w:t xml:space="preserve">statements, reminder letters, final demands, passing outstanding fees to debt recovery agencies, instructing legal action to recover debts, as well as removal from the course and withholding </w:t>
      </w:r>
      <w:r w:rsidR="00834419" w:rsidRPr="00991381">
        <w:rPr>
          <w:sz w:val="22"/>
          <w:szCs w:val="22"/>
        </w:rPr>
        <w:t>results</w:t>
      </w:r>
      <w:r w:rsidRPr="00991381">
        <w:rPr>
          <w:sz w:val="22"/>
          <w:szCs w:val="22"/>
        </w:rPr>
        <w:t xml:space="preserve">. </w:t>
      </w:r>
      <w:r w:rsidR="005E77B6">
        <w:rPr>
          <w:sz w:val="22"/>
          <w:szCs w:val="22"/>
        </w:rPr>
        <w:t xml:space="preserve">  </w:t>
      </w:r>
      <w:r w:rsidRPr="00991381">
        <w:rPr>
          <w:sz w:val="22"/>
          <w:szCs w:val="22"/>
        </w:rPr>
        <w:t>This may also affect any future studies at the College.</w:t>
      </w:r>
    </w:p>
    <w:p w14:paraId="3937453C" w14:textId="77777777" w:rsidR="003B676C" w:rsidRDefault="003B676C" w:rsidP="00393231">
      <w:pPr>
        <w:pStyle w:val="Default"/>
        <w:spacing w:line="276" w:lineRule="auto"/>
        <w:ind w:left="720"/>
        <w:rPr>
          <w:sz w:val="22"/>
          <w:szCs w:val="22"/>
        </w:rPr>
      </w:pPr>
    </w:p>
    <w:p w14:paraId="1867DCE0" w14:textId="77777777" w:rsidR="00393231" w:rsidRPr="003B676C" w:rsidRDefault="00393231" w:rsidP="00393231">
      <w:pPr>
        <w:pStyle w:val="Default"/>
        <w:spacing w:line="276" w:lineRule="auto"/>
        <w:ind w:left="720"/>
        <w:rPr>
          <w:sz w:val="22"/>
          <w:szCs w:val="22"/>
        </w:rPr>
      </w:pPr>
    </w:p>
    <w:p w14:paraId="63913B30" w14:textId="77777777" w:rsidR="00C808B3" w:rsidRDefault="00C808B3" w:rsidP="00D873FD">
      <w:pPr>
        <w:pStyle w:val="ListParagraph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6A02A018" w14:textId="77777777" w:rsidR="00643957" w:rsidRDefault="00643957" w:rsidP="00D873FD">
      <w:pPr>
        <w:pStyle w:val="ListParagraph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2867BC" w14:textId="77777777" w:rsidR="00643957" w:rsidRDefault="00643957" w:rsidP="00D873FD">
      <w:pPr>
        <w:pStyle w:val="ListParagraph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517AFC85" w14:textId="77777777" w:rsidR="00643957" w:rsidRDefault="00643957" w:rsidP="00D873FD">
      <w:pPr>
        <w:pStyle w:val="ListParagraph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55989B05" w14:textId="59209182" w:rsidR="00FE2FF9" w:rsidRPr="0060627B" w:rsidRDefault="00FE2FF9" w:rsidP="00D873FD">
      <w:pPr>
        <w:pStyle w:val="ListParagraph"/>
        <w:spacing w:before="60"/>
        <w:jc w:val="both"/>
        <w:rPr>
          <w:sz w:val="22"/>
          <w:szCs w:val="22"/>
        </w:rPr>
      </w:pPr>
      <w:bookmarkStart w:id="0" w:name="_GoBack"/>
      <w:bookmarkEnd w:id="0"/>
      <w:r w:rsidRPr="00BA27A9">
        <w:rPr>
          <w:rFonts w:ascii="Arial" w:hAnsi="Arial" w:cs="Arial"/>
          <w:b/>
          <w:bCs/>
          <w:sz w:val="22"/>
          <w:szCs w:val="22"/>
        </w:rPr>
        <w:t xml:space="preserve">For any enquiry </w:t>
      </w:r>
      <w:r w:rsidR="00BA27A9" w:rsidRPr="00BA27A9">
        <w:rPr>
          <w:rFonts w:ascii="Arial" w:hAnsi="Arial" w:cs="Arial"/>
          <w:b/>
          <w:bCs/>
          <w:sz w:val="22"/>
          <w:szCs w:val="22"/>
        </w:rPr>
        <w:t xml:space="preserve">or help </w:t>
      </w:r>
      <w:r w:rsidRPr="00BA27A9">
        <w:rPr>
          <w:rFonts w:ascii="Arial" w:hAnsi="Arial" w:cs="Arial"/>
          <w:b/>
          <w:bCs/>
          <w:sz w:val="22"/>
          <w:szCs w:val="22"/>
        </w:rPr>
        <w:t xml:space="preserve">regarding a payment please </w:t>
      </w:r>
      <w:r w:rsidR="00CE1071">
        <w:rPr>
          <w:rFonts w:ascii="Arial" w:hAnsi="Arial" w:cs="Arial"/>
          <w:b/>
          <w:bCs/>
          <w:sz w:val="22"/>
          <w:szCs w:val="22"/>
        </w:rPr>
        <w:t xml:space="preserve">call 0131 297 8187 or </w:t>
      </w:r>
      <w:r w:rsidRPr="00BA27A9">
        <w:rPr>
          <w:rFonts w:ascii="Arial" w:hAnsi="Arial" w:cs="Arial"/>
          <w:b/>
          <w:bCs/>
          <w:sz w:val="22"/>
          <w:szCs w:val="22"/>
        </w:rPr>
        <w:t>e-mail</w:t>
      </w:r>
      <w:r w:rsidRPr="00FE2FF9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FE2FF9">
          <w:rPr>
            <w:rStyle w:val="Hyperlink"/>
            <w:rFonts w:ascii="Arial" w:hAnsi="Arial" w:cs="Arial"/>
            <w:bCs/>
            <w:sz w:val="22"/>
            <w:szCs w:val="22"/>
          </w:rPr>
          <w:t>Cashiers@edinburghcollege.ac.uk</w:t>
        </w:r>
      </w:hyperlink>
      <w:r w:rsidR="00CE1071">
        <w:rPr>
          <w:rStyle w:val="Hyperlink"/>
          <w:rFonts w:ascii="Arial" w:hAnsi="Arial" w:cs="Arial"/>
          <w:bCs/>
          <w:sz w:val="22"/>
          <w:szCs w:val="22"/>
        </w:rPr>
        <w:t xml:space="preserve">  </w:t>
      </w:r>
    </w:p>
    <w:sectPr w:rsidR="00FE2FF9" w:rsidRPr="0060627B" w:rsidSect="003B676C">
      <w:headerReference w:type="default" r:id="rId9"/>
      <w:type w:val="continuous"/>
      <w:pgSz w:w="11909" w:h="16834" w:code="9"/>
      <w:pgMar w:top="1134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83BD" w14:textId="77777777" w:rsidR="00C27563" w:rsidRDefault="00C27563" w:rsidP="00C27563">
      <w:r>
        <w:separator/>
      </w:r>
    </w:p>
  </w:endnote>
  <w:endnote w:type="continuationSeparator" w:id="0">
    <w:p w14:paraId="3FB1A998" w14:textId="77777777" w:rsidR="00C27563" w:rsidRDefault="00C27563" w:rsidP="00C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B4B7" w14:textId="77777777" w:rsidR="00C27563" w:rsidRDefault="00C27563" w:rsidP="00C27563">
      <w:r>
        <w:separator/>
      </w:r>
    </w:p>
  </w:footnote>
  <w:footnote w:type="continuationSeparator" w:id="0">
    <w:p w14:paraId="02FF71C1" w14:textId="77777777" w:rsidR="00C27563" w:rsidRDefault="00C27563" w:rsidP="00C2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F265" w14:textId="6C403C82" w:rsidR="00C27563" w:rsidRDefault="002E3032" w:rsidP="002E3032">
    <w:pPr>
      <w:pStyle w:val="Header"/>
      <w:jc w:val="right"/>
    </w:pPr>
    <w:r>
      <w:rPr>
        <w:noProof/>
      </w:rPr>
      <w:drawing>
        <wp:inline distT="0" distB="0" distL="0" distR="0" wp14:anchorId="775E439B" wp14:editId="76547F3A">
          <wp:extent cx="1152525" cy="609600"/>
          <wp:effectExtent l="0" t="0" r="9525" b="0"/>
          <wp:docPr id="4" name="Picture 3" descr="cid:image002.jpg@01D9558A.415BE6D0">
            <a:extLst xmlns:a="http://schemas.openxmlformats.org/drawingml/2006/main">
              <a:ext uri="{FF2B5EF4-FFF2-40B4-BE49-F238E27FC236}">
                <a16:creationId xmlns:a16="http://schemas.microsoft.com/office/drawing/2014/main" id="{2379B55B-4843-4791-AB4C-9919788C64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2.jpg@01D9558A.415BE6D0">
                    <a:extLst>
                      <a:ext uri="{FF2B5EF4-FFF2-40B4-BE49-F238E27FC236}">
                        <a16:creationId xmlns:a16="http://schemas.microsoft.com/office/drawing/2014/main" id="{2379B55B-4843-4791-AB4C-9919788C64D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BBFF2" w14:textId="77777777" w:rsidR="00263B36" w:rsidRDefault="00263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EE2"/>
    <w:multiLevelType w:val="hybridMultilevel"/>
    <w:tmpl w:val="DB48FB92"/>
    <w:lvl w:ilvl="0" w:tplc="DCD43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C51CD0"/>
    <w:multiLevelType w:val="hybridMultilevel"/>
    <w:tmpl w:val="BF7A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4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980A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B739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61"/>
    <w:rsid w:val="00004C12"/>
    <w:rsid w:val="00013902"/>
    <w:rsid w:val="0006270A"/>
    <w:rsid w:val="00073EB4"/>
    <w:rsid w:val="00081C10"/>
    <w:rsid w:val="000B0788"/>
    <w:rsid w:val="000B58A6"/>
    <w:rsid w:val="000D29FD"/>
    <w:rsid w:val="000D746F"/>
    <w:rsid w:val="000F2950"/>
    <w:rsid w:val="000F2AB4"/>
    <w:rsid w:val="00113B36"/>
    <w:rsid w:val="00122001"/>
    <w:rsid w:val="00134D70"/>
    <w:rsid w:val="00145368"/>
    <w:rsid w:val="00174E11"/>
    <w:rsid w:val="001873FD"/>
    <w:rsid w:val="00263B36"/>
    <w:rsid w:val="002723DE"/>
    <w:rsid w:val="0027546A"/>
    <w:rsid w:val="002A61FC"/>
    <w:rsid w:val="002C02DA"/>
    <w:rsid w:val="002E3032"/>
    <w:rsid w:val="002F4AA0"/>
    <w:rsid w:val="00333007"/>
    <w:rsid w:val="00336B74"/>
    <w:rsid w:val="003442C1"/>
    <w:rsid w:val="00353146"/>
    <w:rsid w:val="00393231"/>
    <w:rsid w:val="003B0157"/>
    <w:rsid w:val="003B676C"/>
    <w:rsid w:val="003C018E"/>
    <w:rsid w:val="003D3A51"/>
    <w:rsid w:val="004066EB"/>
    <w:rsid w:val="00426EC5"/>
    <w:rsid w:val="00431539"/>
    <w:rsid w:val="004A0FE4"/>
    <w:rsid w:val="00550AD8"/>
    <w:rsid w:val="005B1E68"/>
    <w:rsid w:val="005B3AD4"/>
    <w:rsid w:val="005B5B31"/>
    <w:rsid w:val="005D7A98"/>
    <w:rsid w:val="005E4572"/>
    <w:rsid w:val="005E77B6"/>
    <w:rsid w:val="005F760F"/>
    <w:rsid w:val="00643957"/>
    <w:rsid w:val="00645D25"/>
    <w:rsid w:val="00650FAF"/>
    <w:rsid w:val="00665A3F"/>
    <w:rsid w:val="0070019B"/>
    <w:rsid w:val="00713BE5"/>
    <w:rsid w:val="00734BDC"/>
    <w:rsid w:val="007366F1"/>
    <w:rsid w:val="00743070"/>
    <w:rsid w:val="00791FA1"/>
    <w:rsid w:val="007A0D35"/>
    <w:rsid w:val="007D4827"/>
    <w:rsid w:val="00834419"/>
    <w:rsid w:val="00841009"/>
    <w:rsid w:val="00864A40"/>
    <w:rsid w:val="008E3323"/>
    <w:rsid w:val="0094783C"/>
    <w:rsid w:val="00950A96"/>
    <w:rsid w:val="00991381"/>
    <w:rsid w:val="009A6475"/>
    <w:rsid w:val="00A11F83"/>
    <w:rsid w:val="00A72327"/>
    <w:rsid w:val="00A83BFA"/>
    <w:rsid w:val="00AB3393"/>
    <w:rsid w:val="00AE193F"/>
    <w:rsid w:val="00B17C55"/>
    <w:rsid w:val="00B43033"/>
    <w:rsid w:val="00BA27A9"/>
    <w:rsid w:val="00BA6063"/>
    <w:rsid w:val="00BB75AF"/>
    <w:rsid w:val="00BE042E"/>
    <w:rsid w:val="00C17416"/>
    <w:rsid w:val="00C23EA3"/>
    <w:rsid w:val="00C27563"/>
    <w:rsid w:val="00C63133"/>
    <w:rsid w:val="00C802FF"/>
    <w:rsid w:val="00C808B3"/>
    <w:rsid w:val="00CC08AE"/>
    <w:rsid w:val="00CE1071"/>
    <w:rsid w:val="00D347A1"/>
    <w:rsid w:val="00D5174E"/>
    <w:rsid w:val="00D55542"/>
    <w:rsid w:val="00D76F0A"/>
    <w:rsid w:val="00D873FD"/>
    <w:rsid w:val="00D97497"/>
    <w:rsid w:val="00DE5FDD"/>
    <w:rsid w:val="00DF6FBE"/>
    <w:rsid w:val="00E22C61"/>
    <w:rsid w:val="00E91BCE"/>
    <w:rsid w:val="00EA3CE9"/>
    <w:rsid w:val="00F101DA"/>
    <w:rsid w:val="00F62ACE"/>
    <w:rsid w:val="00F72D82"/>
    <w:rsid w:val="00F86AA5"/>
    <w:rsid w:val="00F90058"/>
    <w:rsid w:val="00FA214D"/>
    <w:rsid w:val="00FA550C"/>
    <w:rsid w:val="00FE2FF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C76C243"/>
  <w15:chartTrackingRefBased/>
  <w15:docId w15:val="{CDC9E2FB-F918-4EC6-8D24-2CD2542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E22C61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2C6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rsid w:val="00E22C61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E22C6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22C61"/>
    <w:pPr>
      <w:ind w:left="720"/>
      <w:contextualSpacing/>
    </w:pPr>
  </w:style>
  <w:style w:type="paragraph" w:customStyle="1" w:styleId="Default">
    <w:name w:val="Default"/>
    <w:rsid w:val="00E22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A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A9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5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6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F4AA0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4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4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3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34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iers@edinburghcolleg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college.ac.uk/Student-Life/Student-Funding-And-Fe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College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Youngs</dc:creator>
  <cp:keywords/>
  <dc:description/>
  <cp:lastModifiedBy>Caroline Youngs</cp:lastModifiedBy>
  <cp:revision>12</cp:revision>
  <cp:lastPrinted>2020-07-30T11:34:00Z</cp:lastPrinted>
  <dcterms:created xsi:type="dcterms:W3CDTF">2023-02-20T09:54:00Z</dcterms:created>
  <dcterms:modified xsi:type="dcterms:W3CDTF">2024-04-16T13:41:00Z</dcterms:modified>
</cp:coreProperties>
</file>