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7D7490A6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670940" w:rsidRDefault="0044724F" w:rsidP="00F72963">
      <w:pPr>
        <w:spacing w:after="0"/>
      </w:pPr>
    </w:p>
    <w:p w14:paraId="39CA6B33" w14:textId="77777777" w:rsidR="00590127" w:rsidRPr="00470D01" w:rsidRDefault="00590127" w:rsidP="00F72963">
      <w:pPr>
        <w:spacing w:after="0"/>
        <w:rPr>
          <w:rFonts w:ascii="Lato" w:hAnsi="Lato"/>
          <w:sz w:val="22"/>
          <w:szCs w:val="22"/>
        </w:rPr>
      </w:pPr>
    </w:p>
    <w:p w14:paraId="39CA6B34" w14:textId="0CCEF474" w:rsidR="0044724F" w:rsidRPr="00470D01" w:rsidRDefault="0044724F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Please refer to the </w:t>
      </w:r>
      <w:r w:rsidR="0061726E" w:rsidRPr="00470D01">
        <w:rPr>
          <w:rFonts w:ascii="Lato" w:hAnsi="Lato"/>
          <w:sz w:val="22"/>
          <w:szCs w:val="22"/>
        </w:rPr>
        <w:t xml:space="preserve">notes and examples in the </w:t>
      </w:r>
      <w:r w:rsidRPr="00470D01">
        <w:rPr>
          <w:rFonts w:ascii="Lato" w:hAnsi="Lato"/>
          <w:sz w:val="22"/>
          <w:szCs w:val="22"/>
        </w:rPr>
        <w:t xml:space="preserve">EIA Guidelines </w:t>
      </w:r>
      <w:r w:rsidR="00236EF7" w:rsidRPr="00470D01">
        <w:rPr>
          <w:rFonts w:ascii="Lato" w:hAnsi="Lato"/>
          <w:sz w:val="22"/>
          <w:szCs w:val="22"/>
        </w:rPr>
        <w:t>to help</w:t>
      </w:r>
      <w:r w:rsidRPr="00470D01">
        <w:rPr>
          <w:rFonts w:ascii="Lato" w:hAnsi="Lato"/>
          <w:sz w:val="22"/>
          <w:szCs w:val="22"/>
        </w:rPr>
        <w:t xml:space="preserve"> complete th</w:t>
      </w:r>
      <w:r w:rsidR="001C5461" w:rsidRPr="00470D01">
        <w:rPr>
          <w:rFonts w:ascii="Lato" w:hAnsi="Lato"/>
          <w:sz w:val="22"/>
          <w:szCs w:val="22"/>
        </w:rPr>
        <w:t xml:space="preserve">is </w:t>
      </w:r>
      <w:r w:rsidR="00345E3E" w:rsidRPr="00470D01">
        <w:rPr>
          <w:rFonts w:ascii="Lato" w:hAnsi="Lato"/>
          <w:sz w:val="22"/>
          <w:szCs w:val="22"/>
        </w:rPr>
        <w:t>record</w:t>
      </w:r>
      <w:r w:rsidR="0089137F" w:rsidRPr="00470D01">
        <w:rPr>
          <w:rFonts w:ascii="Lato" w:hAnsi="Lato"/>
          <w:sz w:val="22"/>
          <w:szCs w:val="22"/>
        </w:rPr>
        <w:t>.</w:t>
      </w:r>
    </w:p>
    <w:p w14:paraId="7A84C6F3" w14:textId="77777777" w:rsidR="0089137F" w:rsidRPr="00470D01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2"/>
        <w:gridCol w:w="1261"/>
        <w:gridCol w:w="1264"/>
        <w:gridCol w:w="1919"/>
        <w:gridCol w:w="3943"/>
        <w:gridCol w:w="1217"/>
        <w:gridCol w:w="1432"/>
      </w:tblGrid>
      <w:tr w:rsidR="003F4CB6" w:rsidRPr="00B333E6" w14:paraId="39CA6B3B" w14:textId="77777777" w:rsidTr="00CF30E8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61" w:type="pct"/>
            <w:gridSpan w:val="2"/>
          </w:tcPr>
          <w:p w14:paraId="39CA6B36" w14:textId="7C5DB03A" w:rsidR="00795D1E" w:rsidRPr="00470D01" w:rsidRDefault="00EB3E1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Protecting Vulnerable Groups Policy &amp; Procedure</w:t>
            </w:r>
          </w:p>
        </w:tc>
        <w:tc>
          <w:tcPr>
            <w:tcW w:w="654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344" w:type="pct"/>
            <w:vMerge w:val="restart"/>
          </w:tcPr>
          <w:p w14:paraId="4943D0E2" w14:textId="730BDC70" w:rsidR="007E3F5A" w:rsidRPr="00470D01" w:rsidRDefault="0072617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Sue Clyne</w:t>
            </w:r>
            <w:r w:rsidR="007E3F5A" w:rsidRPr="00470D01">
              <w:rPr>
                <w:rFonts w:ascii="Lato" w:hAnsi="Lato"/>
                <w:sz w:val="22"/>
                <w:szCs w:val="22"/>
              </w:rPr>
              <w:t xml:space="preserve"> (Director of HR&amp;OD)</w:t>
            </w:r>
          </w:p>
          <w:p w14:paraId="307821DB" w14:textId="633F9CF3" w:rsidR="007E3F5A" w:rsidRPr="00470D01" w:rsidRDefault="0072617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Fumie Nakamura</w:t>
            </w:r>
            <w:r w:rsidR="007E3F5A" w:rsidRPr="00470D01">
              <w:rPr>
                <w:rFonts w:ascii="Lato" w:hAnsi="Lato"/>
                <w:sz w:val="22"/>
                <w:szCs w:val="22"/>
              </w:rPr>
              <w:t xml:space="preserve"> (Projects &amp; Systems Assistant)</w:t>
            </w:r>
          </w:p>
          <w:p w14:paraId="39CA6B38" w14:textId="06DDE52B" w:rsidR="00795D1E" w:rsidRPr="00470D01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HR Recruitment Coordinators 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</w:tcPr>
          <w:p w14:paraId="39CA6B39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136C6C88" w:rsidR="00795D1E" w:rsidRPr="00470D01" w:rsidRDefault="00AE755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Novem</w:t>
            </w:r>
            <w:r w:rsidR="006964A4">
              <w:rPr>
                <w:rFonts w:ascii="Lato" w:hAnsi="Lato"/>
                <w:sz w:val="22"/>
                <w:szCs w:val="22"/>
              </w:rPr>
              <w:t>ber 2024</w:t>
            </w:r>
          </w:p>
        </w:tc>
      </w:tr>
      <w:tr w:rsidR="003F4CB6" w:rsidRPr="00B333E6" w14:paraId="39CA6B43" w14:textId="77777777" w:rsidTr="00CF30E8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31" w:type="pct"/>
            <w:vAlign w:val="center"/>
          </w:tcPr>
          <w:p w14:paraId="39CA6B3E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14:paraId="39CA6B40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1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2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B333E6" w14:paraId="39CA6B4B" w14:textId="77777777" w:rsidTr="00CF30E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31" w:type="pct"/>
            <w:vAlign w:val="center"/>
          </w:tcPr>
          <w:p w14:paraId="39CA6B46" w14:textId="70086013" w:rsidR="00795D1E" w:rsidRPr="00470D01" w:rsidRDefault="00FD0E4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14:paraId="39CA6B48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9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A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B333E6" w14:paraId="39CA6B53" w14:textId="77777777" w:rsidTr="00CF30E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31" w:type="pct"/>
            <w:vAlign w:val="center"/>
          </w:tcPr>
          <w:p w14:paraId="39CA6B4E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14:paraId="39CA6B50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51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52" w14:textId="77777777" w:rsidR="00795D1E" w:rsidRPr="00470D0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470D01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470D01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470D01" w:rsidRDefault="00BD1854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12121"/>
      </w:tblGrid>
      <w:tr w:rsidR="00C81A1C" w:rsidRPr="00B333E6" w14:paraId="39CA6B5C" w14:textId="77777777" w:rsidTr="00470D01">
        <w:trPr>
          <w:trHeight w:val="110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470D01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470D01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470D01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470D01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470D01" w:rsidRDefault="0008211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</w:t>
            </w:r>
            <w:r w:rsidR="0061726E" w:rsidRPr="00470D01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4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F70E" w14:textId="4BE89B2E" w:rsidR="0091296E" w:rsidRPr="00470D01" w:rsidRDefault="0091296E" w:rsidP="0091296E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This existing Protecting Vulnerable Group </w:t>
            </w:r>
            <w:r w:rsidR="004E667F" w:rsidRPr="00470D01">
              <w:rPr>
                <w:rFonts w:ascii="Lato" w:hAnsi="Lato"/>
                <w:sz w:val="22"/>
                <w:szCs w:val="22"/>
              </w:rPr>
              <w:t>P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olicy and </w:t>
            </w:r>
            <w:r w:rsidR="00F309B9" w:rsidRPr="00470D01">
              <w:rPr>
                <w:rFonts w:ascii="Lato" w:hAnsi="Lato"/>
                <w:sz w:val="22"/>
                <w:szCs w:val="22"/>
              </w:rPr>
              <w:t>P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rocedure details what process the College will follow with respect to ensuring that College employees and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employees have appropriate and up to date pre-employment</w:t>
            </w:r>
            <w:r w:rsidRPr="00470D01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checks. The College has an</w:t>
            </w:r>
            <w:r w:rsidRPr="00470D01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obligation</w:t>
            </w:r>
            <w:r w:rsidRPr="00470D01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to recruit/continue to employ</w:t>
            </w:r>
            <w:r w:rsidRPr="00470D01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individuals only where it is safe and appropriate to do so</w:t>
            </w:r>
            <w:r w:rsidR="00637E7C" w:rsidRPr="00470D01">
              <w:rPr>
                <w:rFonts w:ascii="Lato" w:hAnsi="Lato"/>
                <w:sz w:val="22"/>
                <w:szCs w:val="22"/>
              </w:rPr>
              <w:t>.</w:t>
            </w:r>
          </w:p>
          <w:p w14:paraId="6694833D" w14:textId="22800DA1" w:rsidR="0091296E" w:rsidRPr="00470D01" w:rsidRDefault="0091296E" w:rsidP="0091296E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597AB9D" w14:textId="6209635B" w:rsidR="0091296E" w:rsidRPr="00470D01" w:rsidRDefault="0091296E" w:rsidP="0091296E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This P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olicy </w:t>
            </w:r>
            <w:r w:rsidRPr="00470D01">
              <w:rPr>
                <w:rFonts w:ascii="Lato" w:hAnsi="Lato"/>
                <w:sz w:val="22"/>
                <w:szCs w:val="22"/>
              </w:rPr>
              <w:t>&amp;</w:t>
            </w:r>
            <w:r w:rsidR="00BD66CC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P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rocedure </w:t>
            </w:r>
            <w:r w:rsidRPr="00470D01">
              <w:rPr>
                <w:rFonts w:ascii="Lato" w:hAnsi="Lato"/>
                <w:sz w:val="22"/>
                <w:szCs w:val="22"/>
              </w:rPr>
              <w:t>have been developed based on official PVG scheme guidance. The College will comply with all PVG guidance &amp; legislation governing how the PVG scheme should be</w:t>
            </w:r>
            <w:r w:rsidRPr="00470D01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administered.</w:t>
            </w:r>
          </w:p>
          <w:p w14:paraId="39CA6B5B" w14:textId="20795E50" w:rsidR="00C81A1C" w:rsidRPr="00470D01" w:rsidRDefault="00C81A1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C81A1C" w:rsidRPr="00B333E6" w14:paraId="39CA6B60" w14:textId="77777777" w:rsidTr="00470D01">
        <w:trPr>
          <w:trHeight w:val="110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470D0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470D01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470D01" w:rsidRDefault="00D60C6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4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2FC11995" w:rsidR="00C81A1C" w:rsidRPr="00470D01" w:rsidRDefault="002D3A9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All employees and p</w:t>
            </w:r>
            <w:r w:rsidR="00912348" w:rsidRPr="00470D01">
              <w:rPr>
                <w:rFonts w:ascii="Lato" w:hAnsi="Lato"/>
                <w:sz w:val="22"/>
                <w:szCs w:val="22"/>
              </w:rPr>
              <w:t>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employees will benefit from a consistent and clear approach being taken across the College checking their backgrounds.</w:t>
            </w:r>
          </w:p>
        </w:tc>
      </w:tr>
      <w:tr w:rsidR="0077004D" w:rsidRPr="00B333E6" w14:paraId="2CF234AF" w14:textId="77777777" w:rsidTr="00470D01">
        <w:trPr>
          <w:trHeight w:val="110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470D01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Who will be consulted?</w:t>
            </w:r>
          </w:p>
          <w:p w14:paraId="28AEDA77" w14:textId="167E6D4E" w:rsidR="0077004D" w:rsidRPr="00470D01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4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390CCC86" w:rsidR="0077004D" w:rsidRPr="00470D01" w:rsidRDefault="002D3A9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bookmarkStart w:id="0" w:name="4.3_HR_responsibilities"/>
            <w:bookmarkStart w:id="1" w:name="5.1_Considerations_in_applying_for_homew"/>
            <w:bookmarkEnd w:id="0"/>
            <w:bookmarkEnd w:id="1"/>
            <w:r w:rsidRPr="00470D01">
              <w:rPr>
                <w:rFonts w:ascii="Lato" w:hAnsi="Lato"/>
                <w:sz w:val="22"/>
                <w:szCs w:val="22"/>
              </w:rPr>
              <w:t xml:space="preserve">Both EIS-FELA &amp; Unison were </w:t>
            </w:r>
            <w:r w:rsidR="009E7D4E">
              <w:rPr>
                <w:rFonts w:ascii="Lato" w:hAnsi="Lato"/>
                <w:sz w:val="22"/>
                <w:szCs w:val="22"/>
              </w:rPr>
              <w:t>consulted on in relation to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this P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olicy </w:t>
            </w:r>
            <w:r w:rsidRPr="00470D01">
              <w:rPr>
                <w:rFonts w:ascii="Lato" w:hAnsi="Lato"/>
                <w:sz w:val="22"/>
                <w:szCs w:val="22"/>
              </w:rPr>
              <w:t>&amp;</w:t>
            </w:r>
            <w:r w:rsidR="00F309B9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P</w:t>
            </w:r>
            <w:r w:rsidR="00F309B9" w:rsidRPr="00470D01">
              <w:rPr>
                <w:rFonts w:ascii="Lato" w:hAnsi="Lato"/>
                <w:sz w:val="22"/>
                <w:szCs w:val="22"/>
              </w:rPr>
              <w:t>rocedure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2611BE07" w14:textId="58F0D865" w:rsidR="003E0686" w:rsidRPr="00470D01" w:rsidRDefault="00F309B9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 </w:t>
      </w:r>
    </w:p>
    <w:p w14:paraId="3AD167B1" w14:textId="28B61566" w:rsidR="003E0686" w:rsidRPr="00470D0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 2 – Consider the Evidence</w:t>
      </w:r>
    </w:p>
    <w:p w14:paraId="6C5FAFA9" w14:textId="292F75B9" w:rsidR="00955897" w:rsidRPr="00470D01" w:rsidRDefault="00F45E39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470D01">
        <w:rPr>
          <w:rFonts w:ascii="Lato" w:hAnsi="Lato"/>
          <w:bCs/>
          <w:sz w:val="22"/>
          <w:szCs w:val="22"/>
        </w:rPr>
        <w:t>are</w:t>
      </w:r>
      <w:proofErr w:type="gramEnd"/>
      <w:r w:rsidRPr="00470D01">
        <w:rPr>
          <w:rFonts w:ascii="Lato" w:hAnsi="Lato"/>
          <w:bCs/>
          <w:sz w:val="22"/>
          <w:szCs w:val="22"/>
        </w:rPr>
        <w:t xml:space="preserve"> the</w:t>
      </w:r>
      <w:r w:rsidR="00021116" w:rsidRPr="00470D01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470D01">
        <w:rPr>
          <w:rFonts w:ascii="Lato" w:hAnsi="Lato"/>
          <w:sz w:val="22"/>
          <w:szCs w:val="22"/>
        </w:rPr>
        <w:t xml:space="preserve"> </w:t>
      </w:r>
      <w:r w:rsidR="007E21BB" w:rsidRPr="00470D01">
        <w:rPr>
          <w:rFonts w:ascii="Lato" w:hAnsi="Lato"/>
          <w:sz w:val="22"/>
          <w:szCs w:val="22"/>
        </w:rPr>
        <w:t xml:space="preserve">can </w:t>
      </w:r>
      <w:r w:rsidR="006B3A69" w:rsidRPr="00470D01">
        <w:rPr>
          <w:rFonts w:ascii="Lato" w:hAnsi="Lato"/>
          <w:sz w:val="22"/>
          <w:szCs w:val="22"/>
        </w:rPr>
        <w:t>gather</w:t>
      </w:r>
      <w:r w:rsidR="00021116" w:rsidRPr="00470D01">
        <w:rPr>
          <w:rFonts w:ascii="Lato" w:hAnsi="Lato"/>
          <w:sz w:val="22"/>
          <w:szCs w:val="22"/>
        </w:rPr>
        <w:t xml:space="preserve"> them</w:t>
      </w:r>
      <w:r w:rsidR="00551062" w:rsidRPr="00470D01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11130"/>
      </w:tblGrid>
      <w:tr w:rsidR="00323A6A" w:rsidRPr="00B333E6" w14:paraId="39CA6B6A" w14:textId="77777777" w:rsidTr="00470D01">
        <w:trPr>
          <w:trHeight w:val="3903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470D0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470D01">
              <w:rPr>
                <w:rFonts w:ascii="Lato" w:hAnsi="Lato"/>
                <w:sz w:val="22"/>
                <w:szCs w:val="22"/>
              </w:rPr>
              <w:t>ailable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70D01">
              <w:rPr>
                <w:rFonts w:ascii="Lato" w:hAnsi="Lato"/>
                <w:sz w:val="22"/>
                <w:szCs w:val="22"/>
              </w:rPr>
              <w:t>of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70D01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470D01">
              <w:rPr>
                <w:rFonts w:ascii="Lato" w:hAnsi="Lato"/>
                <w:sz w:val="22"/>
                <w:szCs w:val="22"/>
              </w:rPr>
              <w:t>,</w:t>
            </w:r>
            <w:r w:rsidR="007F24AD" w:rsidRPr="00470D01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470D01">
              <w:rPr>
                <w:rFonts w:ascii="Lato" w:hAnsi="Lato"/>
                <w:sz w:val="22"/>
                <w:szCs w:val="22"/>
              </w:rPr>
              <w:t>,</w:t>
            </w:r>
            <w:r w:rsidR="007F24AD" w:rsidRPr="00470D01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470D01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470D01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470D01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470D01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470D01" w:rsidRDefault="00974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83E" w14:textId="1E577D3E" w:rsidR="00A15DA3" w:rsidRPr="00DF2C4B" w:rsidRDefault="00A15DA3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HR conducts the check by following the official PVG scheme guidance and </w:t>
            </w:r>
            <w:r w:rsidR="00F309B9" w:rsidRPr="00DF2C4B">
              <w:rPr>
                <w:rFonts w:ascii="Lato" w:hAnsi="Lato"/>
                <w:sz w:val="22"/>
                <w:szCs w:val="22"/>
              </w:rPr>
              <w:t>t</w:t>
            </w:r>
            <w:r w:rsidRPr="00DF2C4B">
              <w:rPr>
                <w:rFonts w:ascii="Lato" w:hAnsi="Lato"/>
                <w:sz w:val="22"/>
                <w:szCs w:val="22"/>
              </w:rPr>
              <w:t>he Lead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and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Counter</w:t>
            </w:r>
            <w:r w:rsidRPr="00DF2C4B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Signatories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are responsible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for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the</w:t>
            </w:r>
            <w:r w:rsidRPr="00DF2C4B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consistent</w:t>
            </w:r>
            <w:r w:rsidRPr="00DF2C4B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>application</w:t>
            </w:r>
            <w:r w:rsidRPr="00DF2C4B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of this </w:t>
            </w:r>
            <w:r w:rsidR="00F309B9" w:rsidRPr="00DF2C4B">
              <w:rPr>
                <w:rFonts w:ascii="Lato" w:hAnsi="Lato"/>
                <w:sz w:val="22"/>
                <w:szCs w:val="22"/>
              </w:rPr>
              <w:t>P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olicy and </w:t>
            </w:r>
            <w:r w:rsidR="00F309B9" w:rsidRPr="00DF2C4B">
              <w:rPr>
                <w:rFonts w:ascii="Lato" w:hAnsi="Lato"/>
                <w:sz w:val="22"/>
                <w:szCs w:val="22"/>
              </w:rPr>
              <w:t>P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rocedure. </w:t>
            </w:r>
            <w:r w:rsidR="00AA28E4" w:rsidRPr="00DF2C4B">
              <w:rPr>
                <w:rFonts w:ascii="Lato" w:hAnsi="Lato"/>
                <w:sz w:val="22"/>
                <w:szCs w:val="22"/>
              </w:rPr>
              <w:t>If there are any issues, HR Partners liaise with their managers to discuss how to proceed</w:t>
            </w:r>
            <w:r w:rsidR="009E7D4E" w:rsidRPr="00DF2C4B">
              <w:rPr>
                <w:rFonts w:ascii="Lato" w:hAnsi="Lato"/>
                <w:sz w:val="22"/>
                <w:szCs w:val="22"/>
              </w:rPr>
              <w:t>, based on a risk assessment approach.</w:t>
            </w:r>
          </w:p>
          <w:p w14:paraId="44D2FB5A" w14:textId="6D018B74" w:rsidR="00637E7C" w:rsidRPr="00DF2C4B" w:rsidRDefault="00637E7C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704E27D" w14:textId="2A075E3C" w:rsidR="00A15DA3" w:rsidRPr="00DF2C4B" w:rsidRDefault="00A15DA3" w:rsidP="00A15DA3">
            <w:pPr>
              <w:pStyle w:val="TableParagraph"/>
              <w:rPr>
                <w:rFonts w:ascii="Lato" w:hAnsi="Lato"/>
              </w:rPr>
            </w:pPr>
            <w:r w:rsidRPr="00DF2C4B">
              <w:rPr>
                <w:rFonts w:ascii="Lato" w:hAnsi="Lato"/>
              </w:rPr>
              <w:t>Ongoing review and discussion with both EIS-FELA and Unison on the implementation of the updated policy and procedure may provide evidence, where feedback has been received, or support has been given through this process</w:t>
            </w:r>
            <w:r w:rsidR="00AA28E4" w:rsidRPr="00DF2C4B">
              <w:rPr>
                <w:rFonts w:ascii="Lato" w:hAnsi="Lato"/>
              </w:rPr>
              <w:t>.</w:t>
            </w:r>
          </w:p>
          <w:p w14:paraId="77B6E68E" w14:textId="3EB7CFB8" w:rsidR="00F309B9" w:rsidRPr="00DF2C4B" w:rsidRDefault="00F309B9" w:rsidP="00A15DA3">
            <w:pPr>
              <w:pStyle w:val="TableParagraph"/>
              <w:rPr>
                <w:rFonts w:ascii="Lato" w:hAnsi="Lato"/>
              </w:rPr>
            </w:pPr>
          </w:p>
          <w:p w14:paraId="39CA6B69" w14:textId="3B0F1190" w:rsidR="00A15DA3" w:rsidRPr="00470D01" w:rsidRDefault="00170D6C" w:rsidP="00A15DA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New</w:t>
            </w:r>
            <w:r w:rsidR="00AA28E4" w:rsidRPr="00DF2C4B">
              <w:rPr>
                <w:rFonts w:ascii="Lato" w:hAnsi="Lato"/>
                <w:sz w:val="22"/>
                <w:szCs w:val="22"/>
              </w:rPr>
              <w:t xml:space="preserve"> employees will be informed what type of membership of PVG is required for the role they have been conditionally offered.</w:t>
            </w:r>
          </w:p>
        </w:tc>
      </w:tr>
    </w:tbl>
    <w:p w14:paraId="6B803CFE" w14:textId="77777777" w:rsidR="003E0686" w:rsidRPr="00470D01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470D01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470D01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470D01">
        <w:rPr>
          <w:rFonts w:ascii="Lato" w:hAnsi="Lato"/>
          <w:b/>
          <w:color w:val="221E1F"/>
          <w:sz w:val="22"/>
          <w:szCs w:val="22"/>
        </w:rPr>
        <w:t>3</w:t>
      </w:r>
      <w:r w:rsidRPr="00470D01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470D01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470D0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470D0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470D01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470D01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Pr="00470D01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470D01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470D01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470D01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6340"/>
        <w:gridCol w:w="4506"/>
      </w:tblGrid>
      <w:tr w:rsidR="00792882" w:rsidRPr="00B333E6" w14:paraId="39CA6B7C" w14:textId="77777777" w:rsidTr="00DB7C35">
        <w:trPr>
          <w:trHeight w:val="1318"/>
        </w:trPr>
        <w:tc>
          <w:tcPr>
            <w:tcW w:w="1303" w:type="pct"/>
            <w:shd w:val="clear" w:color="auto" w:fill="FBD4B4" w:themeFill="accent6" w:themeFillTint="66"/>
          </w:tcPr>
          <w:p w14:paraId="39CA6B74" w14:textId="3D0FBBDE" w:rsidR="00792882" w:rsidRPr="00470D0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lastRenderedPageBreak/>
              <w:t>Eliminating discrimination, harassment</w:t>
            </w:r>
            <w:r w:rsidR="006E0572" w:rsidRPr="00470D01">
              <w:rPr>
                <w:rFonts w:ascii="Lato" w:hAnsi="Lato"/>
                <w:b/>
                <w:sz w:val="22"/>
                <w:szCs w:val="22"/>
              </w:rPr>
              <w:t>,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14:paraId="39CA6B75" w14:textId="77777777" w:rsidR="00792882" w:rsidRPr="00470D0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470D0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470D0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470D0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14:paraId="39CA6B79" w14:textId="77777777" w:rsidR="00792882" w:rsidRPr="00470D0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470D0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470D0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3E0686" w:rsidRPr="00B333E6" w14:paraId="6CD8DFFD" w14:textId="77777777" w:rsidTr="00DB7C35">
        <w:trPr>
          <w:trHeight w:val="1318"/>
        </w:trPr>
        <w:tc>
          <w:tcPr>
            <w:tcW w:w="1303" w:type="pct"/>
            <w:shd w:val="clear" w:color="auto" w:fill="auto"/>
          </w:tcPr>
          <w:p w14:paraId="3C14E77C" w14:textId="2BD9F3AE" w:rsidR="003E0686" w:rsidRPr="00DF2C4B" w:rsidRDefault="002559C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Provides a consistent</w:t>
            </w:r>
            <w:r w:rsidR="000912C8" w:rsidRPr="00DF2C4B">
              <w:rPr>
                <w:rFonts w:ascii="Lato" w:hAnsi="Lato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and transparent </w:t>
            </w:r>
            <w:r w:rsidR="007E3F5A" w:rsidRPr="00DF2C4B">
              <w:rPr>
                <w:rFonts w:ascii="Lato" w:hAnsi="Lato"/>
                <w:sz w:val="22"/>
                <w:szCs w:val="22"/>
              </w:rPr>
              <w:t>fr</w:t>
            </w:r>
            <w:r w:rsidR="00330A7C" w:rsidRPr="00DF2C4B">
              <w:rPr>
                <w:rFonts w:ascii="Lato" w:hAnsi="Lato"/>
                <w:sz w:val="22"/>
                <w:szCs w:val="22"/>
              </w:rPr>
              <w:t>amework for performing PVG. The</w:t>
            </w:r>
            <w:r w:rsidR="000912C8" w:rsidRPr="00DF2C4B">
              <w:rPr>
                <w:rFonts w:ascii="Lato" w:hAnsi="Lato"/>
                <w:sz w:val="22"/>
                <w:szCs w:val="22"/>
              </w:rPr>
              <w:t xml:space="preserve"> existing and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="000912C8" w:rsidRPr="00DF2C4B">
              <w:rPr>
                <w:rFonts w:ascii="Lato" w:hAnsi="Lato"/>
                <w:sz w:val="22"/>
                <w:szCs w:val="22"/>
              </w:rPr>
              <w:t xml:space="preserve"> employees </w:t>
            </w:r>
            <w:r w:rsidR="00936C61" w:rsidRPr="00DF2C4B">
              <w:rPr>
                <w:rFonts w:ascii="Lato" w:hAnsi="Lato"/>
                <w:sz w:val="22"/>
                <w:szCs w:val="22"/>
              </w:rPr>
              <w:t xml:space="preserve">will be treated fairly and equally by the College </w:t>
            </w:r>
            <w:r w:rsidR="00637E7C" w:rsidRPr="00DF2C4B">
              <w:rPr>
                <w:rFonts w:ascii="Lato" w:hAnsi="Lato"/>
                <w:sz w:val="22"/>
                <w:szCs w:val="22"/>
              </w:rPr>
              <w:t>deli</w:t>
            </w:r>
            <w:r w:rsidR="00936C61" w:rsidRPr="00DF2C4B">
              <w:rPr>
                <w:rFonts w:ascii="Lato" w:hAnsi="Lato"/>
                <w:sz w:val="22"/>
                <w:szCs w:val="22"/>
              </w:rPr>
              <w:t>vering PVG.</w:t>
            </w:r>
          </w:p>
          <w:p w14:paraId="11F6A141" w14:textId="77777777" w:rsidR="00637E7C" w:rsidRPr="00DF2C4B" w:rsidRDefault="00637E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D94FBCD" w14:textId="77777777" w:rsidR="00637E7C" w:rsidRPr="00DF2C4B" w:rsidRDefault="00637E7C" w:rsidP="00470D0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Ensure employee(s) who conducts PVG checking gets proper training and follow Government guidance appropriately.</w:t>
            </w:r>
          </w:p>
          <w:p w14:paraId="5C42526E" w14:textId="18804F1D" w:rsidR="00637E7C" w:rsidRPr="00DF2C4B" w:rsidRDefault="00637E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D67CFCC" w14:textId="490472A7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Any employees require support in completing the form, they can seek support from 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HR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Recruitment team. </w:t>
            </w:r>
          </w:p>
          <w:p w14:paraId="3979B23D" w14:textId="09AD6683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161" w:type="pct"/>
            <w:shd w:val="clear" w:color="auto" w:fill="auto"/>
          </w:tcPr>
          <w:p w14:paraId="754D778F" w14:textId="4206A7C2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This Policy ensures that every PVG is reviewed according to the Government guidance 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and </w:t>
            </w:r>
            <w:r w:rsidRPr="00DF2C4B">
              <w:rPr>
                <w:rFonts w:ascii="Lato" w:hAnsi="Lato"/>
                <w:sz w:val="22"/>
                <w:szCs w:val="22"/>
              </w:rPr>
              <w:t>processes.</w:t>
            </w:r>
          </w:p>
          <w:p w14:paraId="3F7DE206" w14:textId="77777777" w:rsidR="008F725A" w:rsidRPr="00DF2C4B" w:rsidRDefault="008F72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62EB7171" w:rsidR="003E0686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Depending on the offences, individuals will be advised whether they are suitable for the roles they applied for</w:t>
            </w:r>
            <w:r w:rsidR="00170D6C" w:rsidRPr="00DF2C4B">
              <w:rPr>
                <w:rFonts w:ascii="Lato" w:hAnsi="Lato"/>
                <w:sz w:val="22"/>
                <w:szCs w:val="22"/>
              </w:rPr>
              <w:t>, based on a risk assessment approach</w:t>
            </w:r>
            <w:r w:rsidR="006C117B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536" w:type="pct"/>
            <w:shd w:val="clear" w:color="auto" w:fill="auto"/>
          </w:tcPr>
          <w:p w14:paraId="76343CA5" w14:textId="6101DE40" w:rsidR="000912C8" w:rsidRPr="00DF2C4B" w:rsidRDefault="000912C8" w:rsidP="000912C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This Policy and Procedure will be well publicised to all employees and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 employees, and outlines the process available for clear understanding to them. </w:t>
            </w:r>
          </w:p>
          <w:p w14:paraId="6F9977F9" w14:textId="77777777" w:rsidR="003E0686" w:rsidRPr="00DF2C4B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9EBF9BE" w14:textId="752C7595" w:rsidR="007E3F5A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As an education establishment, every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and </w:t>
            </w:r>
            <w:r w:rsidR="00F309B9" w:rsidRPr="00DF2C4B">
              <w:rPr>
                <w:rFonts w:ascii="Lato" w:hAnsi="Lato"/>
                <w:sz w:val="22"/>
                <w:szCs w:val="22"/>
              </w:rPr>
              <w:t xml:space="preserve">existing </w:t>
            </w:r>
            <w:r w:rsidRPr="00DF2C4B">
              <w:rPr>
                <w:rFonts w:ascii="Lato" w:hAnsi="Lato"/>
                <w:sz w:val="22"/>
                <w:szCs w:val="22"/>
              </w:rPr>
              <w:t>employee are expected to complete the PVG process.</w:t>
            </w:r>
          </w:p>
        </w:tc>
      </w:tr>
    </w:tbl>
    <w:p w14:paraId="39CA6B7D" w14:textId="7600E84C" w:rsidR="009D7A0F" w:rsidRPr="00470D01" w:rsidRDefault="009D7A0F" w:rsidP="00470D01">
      <w:pPr>
        <w:spacing w:after="0"/>
        <w:rPr>
          <w:rFonts w:ascii="Lato" w:hAnsi="Lato"/>
          <w:color w:val="221E1F"/>
          <w:sz w:val="22"/>
          <w:szCs w:val="22"/>
        </w:rPr>
      </w:pPr>
      <w:r w:rsidRPr="00470D01">
        <w:rPr>
          <w:rFonts w:ascii="Lato" w:hAnsi="Lato"/>
          <w:sz w:val="16"/>
          <w:szCs w:val="16"/>
        </w:rPr>
        <w:t>See Note 5</w:t>
      </w:r>
      <w:r w:rsidRPr="00470D01">
        <w:rPr>
          <w:rFonts w:ascii="Lato" w:hAnsi="Lato"/>
          <w:color w:val="221E1F"/>
          <w:sz w:val="22"/>
          <w:szCs w:val="22"/>
        </w:rPr>
        <w:tab/>
      </w:r>
    </w:p>
    <w:p w14:paraId="7A7BA343" w14:textId="77777777" w:rsidR="006B3A69" w:rsidRPr="00470D01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470D01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470D0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470D0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470D01">
        <w:rPr>
          <w:rFonts w:ascii="Lato" w:hAnsi="Lato" w:cs="Arial"/>
          <w:sz w:val="22"/>
          <w:szCs w:val="22"/>
        </w:rPr>
        <w:t>.</w:t>
      </w:r>
      <w:r w:rsidRPr="00470D01">
        <w:rPr>
          <w:rFonts w:ascii="Lato" w:hAnsi="Lato" w:cs="Arial"/>
          <w:sz w:val="22"/>
          <w:szCs w:val="22"/>
        </w:rPr>
        <w:t>g</w:t>
      </w:r>
      <w:r w:rsidR="00AC2C10" w:rsidRPr="00470D01">
        <w:rPr>
          <w:rFonts w:ascii="Lato" w:hAnsi="Lato" w:cs="Arial"/>
          <w:sz w:val="22"/>
          <w:szCs w:val="22"/>
        </w:rPr>
        <w:t>.</w:t>
      </w:r>
      <w:r w:rsidRPr="00470D01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470D0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70D01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3" w14:textId="1C3F7333" w:rsidR="00E9760D" w:rsidRPr="008F725A" w:rsidRDefault="009D7A0F" w:rsidP="00F44D8E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color w:val="221E1F"/>
          <w:sz w:val="22"/>
          <w:szCs w:val="22"/>
        </w:rPr>
      </w:pPr>
      <w:r w:rsidRPr="008F725A">
        <w:rPr>
          <w:rFonts w:ascii="Lato" w:hAnsi="Lato"/>
          <w:sz w:val="22"/>
          <w:szCs w:val="22"/>
        </w:rPr>
        <w:t xml:space="preserve">Does it affect some groups differently? Is this </w:t>
      </w:r>
      <w:proofErr w:type="spellStart"/>
      <w:proofErr w:type="gramStart"/>
      <w:r w:rsidRPr="008F725A">
        <w:rPr>
          <w:rFonts w:ascii="Lato" w:hAnsi="Lato"/>
          <w:sz w:val="22"/>
          <w:szCs w:val="22"/>
        </w:rPr>
        <w:t>proportionate?</w:t>
      </w:r>
      <w:r w:rsidR="00ED6941" w:rsidRPr="008F725A">
        <w:rPr>
          <w:rFonts w:ascii="Lato" w:hAnsi="Lato"/>
          <w:sz w:val="16"/>
          <w:szCs w:val="16"/>
        </w:rPr>
        <w:t>See</w:t>
      </w:r>
      <w:proofErr w:type="spellEnd"/>
      <w:proofErr w:type="gramEnd"/>
      <w:r w:rsidR="00ED6941" w:rsidRPr="008F725A">
        <w:rPr>
          <w:rFonts w:ascii="Lato" w:hAnsi="Lato"/>
          <w:sz w:val="16"/>
          <w:szCs w:val="16"/>
        </w:rPr>
        <w:t xml:space="preserve"> Note 6</w:t>
      </w:r>
      <w:r w:rsidR="00E9760D" w:rsidRPr="008F725A">
        <w:rPr>
          <w:rFonts w:ascii="Lato" w:hAnsi="Lato"/>
          <w:color w:val="221E1F"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1132"/>
        <w:gridCol w:w="5738"/>
        <w:gridCol w:w="1109"/>
        <w:gridCol w:w="5131"/>
      </w:tblGrid>
      <w:tr w:rsidR="0070228B" w:rsidRPr="00B333E6" w14:paraId="39CA6B8D" w14:textId="77777777" w:rsidTr="00470D01">
        <w:trPr>
          <w:trHeight w:val="81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470D01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470D01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470D0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470D0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470D01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1956" w:type="pct"/>
            <w:shd w:val="clear" w:color="auto" w:fill="FDE9D9" w:themeFill="accent6" w:themeFillTint="33"/>
            <w:vAlign w:val="center"/>
          </w:tcPr>
          <w:p w14:paraId="39CA6B8A" w14:textId="77777777" w:rsidR="006F48B0" w:rsidRPr="00470D0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Deta</w:t>
            </w:r>
            <w:r w:rsidR="00202247" w:rsidRPr="00470D01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39CA6B8B" w14:textId="77777777" w:rsidR="006F48B0" w:rsidRPr="00470D0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470D01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470D01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1749" w:type="pct"/>
            <w:shd w:val="clear" w:color="auto" w:fill="FDE9D9" w:themeFill="accent6" w:themeFillTint="33"/>
            <w:vAlign w:val="center"/>
          </w:tcPr>
          <w:p w14:paraId="39CA6B8C" w14:textId="77777777" w:rsidR="006F48B0" w:rsidRPr="00470D0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470D01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E9760D" w:rsidRPr="00B333E6" w14:paraId="39CA6B93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788841ED" w:rsidR="00E9760D" w:rsidRPr="00DF2C4B" w:rsidRDefault="003228F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</w:t>
            </w:r>
            <w:r w:rsidR="004336CB" w:rsidRPr="00DF2C4B">
              <w:rPr>
                <w:rFonts w:ascii="Lato" w:hAnsi="Lato"/>
                <w:sz w:val="22"/>
                <w:szCs w:val="22"/>
              </w:rPr>
              <w:t>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90" w14:textId="53878600" w:rsidR="00E9760D" w:rsidRPr="00DF2C4B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Explanations </w:t>
            </w:r>
            <w:r w:rsidR="00A27CD9" w:rsidRPr="00DF2C4B">
              <w:rPr>
                <w:rFonts w:ascii="Lato" w:hAnsi="Lato"/>
                <w:sz w:val="22"/>
                <w:szCs w:val="22"/>
              </w:rPr>
              <w:t xml:space="preserve">for conducting PVG are explained to </w:t>
            </w:r>
            <w:r w:rsidR="00912348" w:rsidRPr="00DF2C4B">
              <w:rPr>
                <w:rFonts w:ascii="Lato" w:hAnsi="Lato"/>
                <w:sz w:val="22"/>
                <w:szCs w:val="22"/>
              </w:rPr>
              <w:t>prospective</w:t>
            </w:r>
            <w:r w:rsidR="00A27CD9" w:rsidRPr="00DF2C4B">
              <w:rPr>
                <w:rFonts w:ascii="Lato" w:hAnsi="Lato"/>
                <w:sz w:val="22"/>
                <w:szCs w:val="22"/>
              </w:rPr>
              <w:t xml:space="preserve"> and existing employees.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91" w14:textId="060587A6" w:rsidR="00E9760D" w:rsidRPr="00DF2C4B" w:rsidRDefault="007E3F5A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92" w14:textId="7AF7DEB8" w:rsidR="00E9760D" w:rsidRPr="00DF2C4B" w:rsidRDefault="007E3F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Younger people may not understand the process due to lack of work experience. More experienced employee may question the reasoning of PVG process. </w:t>
            </w:r>
          </w:p>
        </w:tc>
      </w:tr>
      <w:tr w:rsidR="00E9760D" w:rsidRPr="00B333E6" w14:paraId="39CA6B99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D289861" w:rsidR="00E9760D" w:rsidRPr="00DF2C4B" w:rsidRDefault="00A27CD9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</w:t>
            </w:r>
            <w:r w:rsidR="007319D2" w:rsidRPr="00DF2C4B">
              <w:rPr>
                <w:rFonts w:ascii="Lato" w:hAnsi="Lato"/>
                <w:sz w:val="22"/>
                <w:szCs w:val="22"/>
              </w:rPr>
              <w:t>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96" w14:textId="0ED68BAD" w:rsidR="00E9760D" w:rsidRPr="00DF2C4B" w:rsidRDefault="00A27CD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Assistance will be provided to individuals to help them to understand the process and to complete the necessary forms.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97" w14:textId="356B88E2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98" w14:textId="2BC576F1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People with a range of disabilities may have barriers in accessing or completing the form.   </w:t>
            </w:r>
          </w:p>
        </w:tc>
      </w:tr>
      <w:tr w:rsidR="00E9760D" w:rsidRPr="00B333E6" w14:paraId="39CA6BA0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536285AA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9D" w14:textId="54D56BFD" w:rsidR="00B94D76" w:rsidRPr="00DF2C4B" w:rsidRDefault="008B678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</w:t>
            </w:r>
            <w:r w:rsidR="00170D6C" w:rsidRPr="00DF2C4B">
              <w:rPr>
                <w:rFonts w:ascii="Lato" w:hAnsi="Lato"/>
                <w:sz w:val="22"/>
                <w:szCs w:val="22"/>
              </w:rPr>
              <w:t>mployees will not be discriminated against on the basis of gender re-assignment.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9E" w14:textId="7584F9F4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9F" w14:textId="55DA6483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The name they use on daily basis may not correlate with the official documents. </w:t>
            </w:r>
          </w:p>
        </w:tc>
      </w:tr>
      <w:tr w:rsidR="00E9760D" w:rsidRPr="00B333E6" w14:paraId="39CA6BA6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Marriage/civil partnership (relevant in employment law)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564AED1E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A3" w14:textId="1BD7B3DA" w:rsidR="00E9760D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Government guidance</w:t>
            </w:r>
            <w:r w:rsidR="00A27CD9" w:rsidRPr="00DF2C4B">
              <w:rPr>
                <w:rFonts w:ascii="Lato" w:hAnsi="Lato"/>
                <w:sz w:val="22"/>
                <w:szCs w:val="22"/>
              </w:rPr>
              <w:t xml:space="preserve">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explains the additional documents required for people with different names. 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A4" w14:textId="2F8B032A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A5" w14:textId="0259709A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Similar to the above, the name they prefer to use at work may not correlate with the official documents.</w:t>
            </w:r>
          </w:p>
        </w:tc>
      </w:tr>
      <w:tr w:rsidR="00E9760D" w:rsidRPr="00B333E6" w14:paraId="39CA6BAC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470D01" w:rsidRDefault="00BC2C1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Pregnancy</w:t>
            </w:r>
            <w:r w:rsidR="00E9760D" w:rsidRPr="00470D01">
              <w:rPr>
                <w:rFonts w:ascii="Lato" w:hAnsi="Lato"/>
                <w:sz w:val="22"/>
                <w:szCs w:val="22"/>
              </w:rPr>
              <w:t xml:space="preserve"> and Maternity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4C6E5B13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A9" w14:textId="5D884CBB" w:rsidR="00E9760D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Employees will be advised of outstanding requirements on </w:t>
            </w:r>
            <w:r w:rsidR="00170D6C" w:rsidRPr="00DF2C4B">
              <w:rPr>
                <w:rFonts w:ascii="Lato" w:hAnsi="Lato"/>
                <w:sz w:val="22"/>
                <w:szCs w:val="22"/>
              </w:rPr>
              <w:t xml:space="preserve">their </w:t>
            </w:r>
            <w:r w:rsidRPr="00DF2C4B">
              <w:rPr>
                <w:rFonts w:ascii="Lato" w:hAnsi="Lato"/>
                <w:sz w:val="22"/>
                <w:szCs w:val="22"/>
              </w:rPr>
              <w:t>return to work.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AA" w14:textId="74B27683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AB" w14:textId="555944F0" w:rsidR="00E9760D" w:rsidRPr="00DF2C4B" w:rsidRDefault="00C010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For existing employees, the expiry date of PVG may occur during their maternity leave.</w:t>
            </w:r>
          </w:p>
        </w:tc>
      </w:tr>
      <w:tr w:rsidR="00E9760D" w:rsidRPr="00B333E6" w14:paraId="39CA6BB2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Race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4F041AFC" w:rsidR="00E9760D" w:rsidRPr="00DF2C4B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AF" w14:textId="5BB83B58" w:rsidR="00E9760D" w:rsidRPr="00DF2C4B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Government guidance explains the full processes and any additional documents required for special circumstances.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B0" w14:textId="2AC08F94" w:rsidR="00E9760D" w:rsidRPr="00DF2C4B" w:rsidRDefault="00C0108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2D0BBB07" w14:textId="77777777" w:rsidR="00E9760D" w:rsidRPr="00DF2C4B" w:rsidRDefault="006A7A0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PVG processes for p</w:t>
            </w:r>
            <w:r w:rsidR="00C01081" w:rsidRPr="00DF2C4B">
              <w:rPr>
                <w:rFonts w:ascii="Lato" w:hAnsi="Lato"/>
                <w:sz w:val="22"/>
                <w:szCs w:val="22"/>
              </w:rPr>
              <w:t xml:space="preserve">eople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who </w:t>
            </w:r>
            <w:r w:rsidR="00C01081" w:rsidRPr="00DF2C4B">
              <w:rPr>
                <w:rFonts w:ascii="Lato" w:hAnsi="Lato"/>
                <w:sz w:val="22"/>
                <w:szCs w:val="22"/>
              </w:rPr>
              <w:t xml:space="preserve">lived in other countries </w:t>
            </w:r>
            <w:r w:rsidRPr="00DF2C4B">
              <w:rPr>
                <w:rFonts w:ascii="Lato" w:hAnsi="Lato"/>
                <w:sz w:val="22"/>
                <w:szCs w:val="22"/>
              </w:rPr>
              <w:t>may be longer or complicated.</w:t>
            </w:r>
          </w:p>
          <w:p w14:paraId="0B5484FE" w14:textId="77777777" w:rsidR="00A17DE9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1" w14:textId="560AD5BB" w:rsidR="00A17DE9" w:rsidRPr="00DF2C4B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Refugees may not have all the necessary legal documents.</w:t>
            </w:r>
          </w:p>
        </w:tc>
      </w:tr>
      <w:tr w:rsidR="00E9760D" w:rsidRPr="00B333E6" w14:paraId="39CA6BB8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Religion or belief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022ADD3B" w:rsidR="00E9760D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B5" w14:textId="70876F26" w:rsidR="00E9760D" w:rsidRPr="00470D01" w:rsidRDefault="00A17DE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The policy explains fully the reasons for the College to conduct PVGs.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B6" w14:textId="1EEF4977" w:rsidR="00E9760D" w:rsidRPr="00470D01" w:rsidRDefault="006A7A0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B7" w14:textId="529A89F7" w:rsidR="00E9760D" w:rsidRPr="00470D01" w:rsidRDefault="006A7A0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Due to their belief, they may feel offended to go through PVG process.</w:t>
            </w:r>
          </w:p>
        </w:tc>
      </w:tr>
      <w:tr w:rsidR="00E9760D" w:rsidRPr="00B333E6" w14:paraId="39CA6BBE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411BC3D6" w:rsidR="00E9760D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BB" w14:textId="7616213F" w:rsidR="00E9760D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By following Government guidance, all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and existing employees are treated fairly and equally.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BC" w14:textId="3A06E308" w:rsidR="00E9760D" w:rsidRPr="00470D01" w:rsidRDefault="006A7A0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BD" w14:textId="7264296A" w:rsidR="00E9760D" w:rsidRPr="00470D01" w:rsidRDefault="008823B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Robust safeguarding review will be conducted for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="007319D2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or </w:t>
            </w:r>
            <w:r w:rsidR="007319D2" w:rsidRPr="00470D01">
              <w:rPr>
                <w:rFonts w:ascii="Lato" w:hAnsi="Lato"/>
                <w:sz w:val="22"/>
                <w:szCs w:val="22"/>
              </w:rPr>
              <w:t xml:space="preserve">existing </w:t>
            </w:r>
            <w:r w:rsidRPr="00470D01">
              <w:rPr>
                <w:rFonts w:ascii="Lato" w:hAnsi="Lato"/>
                <w:sz w:val="22"/>
                <w:szCs w:val="22"/>
              </w:rPr>
              <w:t>employees with sexual offences.</w:t>
            </w:r>
          </w:p>
        </w:tc>
      </w:tr>
      <w:tr w:rsidR="00E9760D" w:rsidRPr="00B333E6" w14:paraId="39CA6BC4" w14:textId="77777777" w:rsidTr="00470D01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E9760D" w:rsidRPr="00470D0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2564688A" w:rsidR="00E9760D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956" w:type="pct"/>
            <w:shd w:val="clear" w:color="auto" w:fill="FFFFFF" w:themeFill="background1"/>
          </w:tcPr>
          <w:p w14:paraId="39CA6BC1" w14:textId="248025D8" w:rsidR="00E9760D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Each case will discuss with their manager and HR to assess if the result will impact to perform the role</w:t>
            </w:r>
            <w:r w:rsidR="00170D6C">
              <w:rPr>
                <w:rFonts w:ascii="Lato" w:hAnsi="Lato"/>
                <w:sz w:val="22"/>
                <w:szCs w:val="22"/>
              </w:rPr>
              <w:t xml:space="preserve"> based on a risk assessment approach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78" w:type="pct"/>
            <w:shd w:val="clear" w:color="auto" w:fill="FFFFFF" w:themeFill="background1"/>
          </w:tcPr>
          <w:p w14:paraId="39CA6BC2" w14:textId="4B7B5965" w:rsidR="00E9760D" w:rsidRPr="00470D01" w:rsidRDefault="00226D9E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49" w:type="pct"/>
            <w:shd w:val="clear" w:color="auto" w:fill="FFFFFF" w:themeFill="background1"/>
          </w:tcPr>
          <w:p w14:paraId="39CA6BC3" w14:textId="34F74781" w:rsidR="00E9760D" w:rsidRPr="00470D01" w:rsidRDefault="001502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People from other countries may be wrongly charged because their country of origin still regard gay relationships as criminal activities.    </w:t>
            </w:r>
          </w:p>
        </w:tc>
      </w:tr>
    </w:tbl>
    <w:p w14:paraId="668BC2B9" w14:textId="68493C7F" w:rsidR="003E0686" w:rsidRPr="00470D01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470D01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B333E6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470D01" w:rsidRDefault="003E0686" w:rsidP="00470D0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470D01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470D0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3E0686" w:rsidRPr="00B333E6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33073C27" w:rsidR="003E0686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16CB1213" w:rsidR="003E0686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By following Government guidance, all </w:t>
            </w:r>
            <w:r w:rsidR="00912348" w:rsidRPr="00470D01">
              <w:rPr>
                <w:rFonts w:ascii="Lato" w:hAnsi="Lato"/>
                <w:sz w:val="22"/>
                <w:szCs w:val="22"/>
              </w:rPr>
              <w:t>prospective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and existing employees are treated fairly and equally for PVG checking and </w:t>
            </w:r>
            <w:r w:rsidR="00912348" w:rsidRPr="00470D01">
              <w:rPr>
                <w:rFonts w:ascii="Lato" w:hAnsi="Lato"/>
                <w:sz w:val="22"/>
                <w:szCs w:val="22"/>
              </w:rPr>
              <w:t>treatments after receiving the results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7F2EEBA7" w:rsidR="003E0686" w:rsidRPr="00470D01" w:rsidRDefault="001502E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39630511" w:rsidR="003E0686" w:rsidRPr="00470D01" w:rsidRDefault="001502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Statistically, people </w:t>
            </w:r>
            <w:r w:rsidR="003228F0" w:rsidRPr="00470D01">
              <w:rPr>
                <w:rFonts w:ascii="Lato" w:hAnsi="Lato"/>
                <w:sz w:val="22"/>
                <w:szCs w:val="22"/>
              </w:rPr>
              <w:t>of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social deprivation are more likely to be charged with minor offences.</w:t>
            </w:r>
          </w:p>
        </w:tc>
      </w:tr>
      <w:tr w:rsidR="003E0686" w:rsidRPr="00B333E6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A70E888" w:rsidR="003E0686" w:rsidRPr="00470D01" w:rsidRDefault="007319D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31FC9BA6" w:rsidR="003E0686" w:rsidRPr="00470D01" w:rsidRDefault="007319D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Recruitment will assist to complete the form based on Government guidance.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59FE21E0" w:rsidR="003E0686" w:rsidRPr="00470D01" w:rsidRDefault="003228F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74C3E2CB" w:rsidR="003E0686" w:rsidRPr="00470D01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Due to </w:t>
            </w:r>
            <w:r w:rsidR="004A194C" w:rsidRPr="00470D01">
              <w:rPr>
                <w:rFonts w:ascii="Lato" w:hAnsi="Lato"/>
                <w:sz w:val="22"/>
                <w:szCs w:val="22"/>
              </w:rPr>
              <w:t>the potential</w:t>
            </w:r>
            <w:r w:rsidRPr="00470D01">
              <w:rPr>
                <w:rFonts w:ascii="Lato" w:hAnsi="Lato"/>
                <w:sz w:val="22"/>
                <w:szCs w:val="22"/>
              </w:rPr>
              <w:t xml:space="preserve"> disruptive upbringing, they may not have a full list of residential addresses.  </w:t>
            </w:r>
          </w:p>
        </w:tc>
      </w:tr>
      <w:tr w:rsidR="003E0686" w:rsidRPr="00B333E6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3E0686" w:rsidRPr="00470D0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216E2DA1" w:rsidR="003E0686" w:rsidRPr="00470D01" w:rsidRDefault="00912348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7DCE7E36" w:rsidR="003E0686" w:rsidRPr="00470D01" w:rsidRDefault="0091234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By following Government guidance, all prospective and existing employees are treated fairly and equally for PVG checking and following actions.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54668EC5" w:rsidR="003E0686" w:rsidRPr="00470D01" w:rsidRDefault="003228F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2AEA751E" w:rsidR="003E0686" w:rsidRPr="00470D01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Some offences may relate to protection of the people they care for.</w:t>
            </w:r>
          </w:p>
        </w:tc>
      </w:tr>
      <w:tr w:rsidR="006E0572" w:rsidRPr="00B333E6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7424D40" w14:textId="77777777" w:rsidR="006E0572" w:rsidRPr="00470D01" w:rsidRDefault="006E0572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  <w:p w14:paraId="627D1575" w14:textId="77777777" w:rsidR="003228F0" w:rsidRPr="00470D01" w:rsidRDefault="003228F0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E797408" w14:textId="7ECC33D3" w:rsidR="003228F0" w:rsidRPr="00470D01" w:rsidRDefault="003228F0" w:rsidP="0007310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People with low literacy skills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22772FA3" w:rsidR="006E0572" w:rsidRPr="00470D01" w:rsidRDefault="00912348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B65B97" w:rsidR="006E0572" w:rsidRPr="00470D01" w:rsidRDefault="0091234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recruitment will assist them to complete the form.</w:t>
            </w:r>
          </w:p>
        </w:tc>
        <w:tc>
          <w:tcPr>
            <w:tcW w:w="414" w:type="pct"/>
            <w:shd w:val="clear" w:color="auto" w:fill="FFFFFF" w:themeFill="background1"/>
          </w:tcPr>
          <w:p w14:paraId="6D58A982" w14:textId="35EDF877" w:rsidR="006E0572" w:rsidRPr="00470D01" w:rsidRDefault="003228F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2F4328D6" w:rsidR="006E0572" w:rsidRPr="00470D01" w:rsidRDefault="003228F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People with low literacy skills may not fully understand the written process. </w:t>
            </w:r>
          </w:p>
        </w:tc>
      </w:tr>
    </w:tbl>
    <w:p w14:paraId="48A5F553" w14:textId="77777777" w:rsidR="00F72963" w:rsidRPr="00470D01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470D01" w:rsidRDefault="00FB7135">
      <w:pPr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470D01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470D01">
        <w:rPr>
          <w:rFonts w:ascii="Lato" w:hAnsi="Lato"/>
          <w:b/>
          <w:sz w:val="22"/>
          <w:szCs w:val="22"/>
        </w:rPr>
        <w:t xml:space="preserve"> </w:t>
      </w:r>
      <w:r w:rsidR="003E0686" w:rsidRPr="00470D01">
        <w:rPr>
          <w:rFonts w:ascii="Lato" w:hAnsi="Lato"/>
          <w:b/>
          <w:sz w:val="22"/>
          <w:szCs w:val="22"/>
        </w:rPr>
        <w:t>4</w:t>
      </w:r>
      <w:r w:rsidR="00850631" w:rsidRPr="00470D01">
        <w:rPr>
          <w:rFonts w:ascii="Lato" w:hAnsi="Lato"/>
          <w:b/>
          <w:sz w:val="22"/>
          <w:szCs w:val="22"/>
        </w:rPr>
        <w:t xml:space="preserve"> – Actin</w:t>
      </w:r>
      <w:r w:rsidR="00F7144E" w:rsidRPr="00470D01">
        <w:rPr>
          <w:rFonts w:ascii="Lato" w:hAnsi="Lato"/>
          <w:b/>
          <w:sz w:val="22"/>
          <w:szCs w:val="22"/>
        </w:rPr>
        <w:t>g on</w:t>
      </w:r>
      <w:r w:rsidR="00850631" w:rsidRPr="00470D01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470D01">
        <w:rPr>
          <w:rFonts w:ascii="Lato" w:hAnsi="Lato"/>
          <w:b/>
          <w:sz w:val="22"/>
          <w:szCs w:val="22"/>
        </w:rPr>
        <w:t>.</w:t>
      </w:r>
      <w:r w:rsidR="00106EAB" w:rsidRPr="00470D01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6D3F43" w:rsidRPr="00B333E6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6D3F43" w:rsidRPr="00470D01" w:rsidRDefault="006D3F4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D77EBC" w:rsidRPr="00470D01" w:rsidRDefault="00C76212" w:rsidP="00470D0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6257F939" w14:textId="77777777" w:rsidR="00EC165A" w:rsidRPr="00DF2C4B" w:rsidRDefault="009B2C0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Clear </w:t>
            </w:r>
            <w:r w:rsidR="00EC165A" w:rsidRPr="00DF2C4B">
              <w:rPr>
                <w:rFonts w:ascii="Lato" w:hAnsi="Lato"/>
                <w:sz w:val="22"/>
                <w:szCs w:val="22"/>
              </w:rPr>
              <w:t>communications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 explaining for conducting PVG check and following actions, such as destroying the information in line with Data Protection Act or terminating employment /withdrawing offer in line with </w:t>
            </w:r>
            <w:r w:rsidR="00EC165A" w:rsidRPr="00DF2C4B">
              <w:rPr>
                <w:rFonts w:ascii="Lato" w:hAnsi="Lato"/>
                <w:sz w:val="22"/>
                <w:szCs w:val="22"/>
              </w:rPr>
              <w:t xml:space="preserve">statutory procedures to all employees and prospective employees. </w:t>
            </w:r>
          </w:p>
          <w:p w14:paraId="12FC5B20" w14:textId="77777777" w:rsidR="00EC165A" w:rsidRPr="00DF2C4B" w:rsidRDefault="00EC16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DD" w14:textId="1306E56B" w:rsidR="006D3F43" w:rsidRPr="00DF2C4B" w:rsidRDefault="00EC165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Ensure employees who deal PVG procedures are trained for following the up to date legislation. </w:t>
            </w:r>
            <w:r w:rsidR="009B2C0F" w:rsidRPr="00DF2C4B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8E316A" w:rsidRPr="00B333E6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8E316A" w:rsidRPr="00470D01" w:rsidRDefault="008E316A" w:rsidP="008E316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Is there a need to address any gaps in evidence?</w:t>
            </w:r>
          </w:p>
        </w:tc>
        <w:tc>
          <w:tcPr>
            <w:tcW w:w="4088" w:type="pct"/>
            <w:shd w:val="clear" w:color="auto" w:fill="FFFFFF" w:themeFill="background1"/>
          </w:tcPr>
          <w:p w14:paraId="1E3F85F8" w14:textId="77777777" w:rsidR="008E316A" w:rsidRPr="00DF2C4B" w:rsidRDefault="008E316A" w:rsidP="008E316A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6FE460DB" w14:textId="4F72FDB7" w:rsidR="008E316A" w:rsidRPr="00DF2C4B" w:rsidRDefault="008E316A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Regular requests for general feedback on the implementation of this policy/procedure from the Unions at local </w:t>
            </w:r>
            <w:r w:rsidR="00170D6C" w:rsidRPr="00DF2C4B">
              <w:rPr>
                <w:rFonts w:ascii="Lato" w:hAnsi="Lato"/>
                <w:sz w:val="22"/>
                <w:szCs w:val="22"/>
              </w:rPr>
              <w:t>L</w:t>
            </w:r>
            <w:r w:rsidRPr="00DF2C4B">
              <w:rPr>
                <w:rFonts w:ascii="Lato" w:hAnsi="Lato"/>
                <w:sz w:val="22"/>
                <w:szCs w:val="22"/>
              </w:rPr>
              <w:t>NC meetings</w:t>
            </w:r>
            <w:r w:rsidR="00945F8C" w:rsidRPr="00DF2C4B">
              <w:rPr>
                <w:rFonts w:ascii="Lato" w:hAnsi="Lato"/>
                <w:sz w:val="22"/>
                <w:szCs w:val="22"/>
              </w:rPr>
              <w:t>.</w:t>
            </w:r>
          </w:p>
          <w:p w14:paraId="59AE9E12" w14:textId="77777777" w:rsidR="00945F8C" w:rsidRPr="00DF2C4B" w:rsidRDefault="00945F8C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D635598" w14:textId="77777777" w:rsidR="00945F8C" w:rsidRPr="00DF2C4B" w:rsidRDefault="00945F8C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It may be useful if HR Recruitment team will collect the feedback </w:t>
            </w:r>
            <w:r w:rsidR="00B36EB3" w:rsidRPr="00DF2C4B">
              <w:rPr>
                <w:rFonts w:ascii="Lato" w:hAnsi="Lato"/>
                <w:sz w:val="22"/>
                <w:szCs w:val="22"/>
              </w:rPr>
              <w:t xml:space="preserve">how the PVG check process has been managed and if any additional support were required </w:t>
            </w:r>
            <w:r w:rsidRPr="00DF2C4B">
              <w:rPr>
                <w:rFonts w:ascii="Lato" w:hAnsi="Lato"/>
                <w:sz w:val="22"/>
                <w:szCs w:val="22"/>
              </w:rPr>
              <w:t xml:space="preserve">from prospective and existing employees </w:t>
            </w:r>
            <w:r w:rsidR="00B36EB3" w:rsidRPr="00DF2C4B">
              <w:rPr>
                <w:rFonts w:ascii="Lato" w:hAnsi="Lato"/>
                <w:sz w:val="22"/>
                <w:szCs w:val="22"/>
              </w:rPr>
              <w:t xml:space="preserve">after conducting </w:t>
            </w:r>
            <w:r w:rsidRPr="00DF2C4B">
              <w:rPr>
                <w:rFonts w:ascii="Lato" w:hAnsi="Lato"/>
                <w:sz w:val="22"/>
                <w:szCs w:val="22"/>
              </w:rPr>
              <w:t>PVG check</w:t>
            </w:r>
            <w:r w:rsidR="00B36EB3" w:rsidRPr="00DF2C4B">
              <w:rPr>
                <w:rFonts w:ascii="Lato" w:hAnsi="Lato"/>
                <w:sz w:val="22"/>
                <w:szCs w:val="22"/>
              </w:rPr>
              <w:t>.</w:t>
            </w:r>
          </w:p>
          <w:p w14:paraId="39CA6BE0" w14:textId="4261CF87" w:rsidR="00B36EB3" w:rsidRPr="00DF2C4B" w:rsidRDefault="00B36EB3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8E316A" w:rsidRPr="00B333E6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8E316A" w:rsidRPr="00470D01" w:rsidRDefault="008E316A" w:rsidP="008E316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3" w14:textId="09E23D15" w:rsidR="008E316A" w:rsidRPr="00DF2C4B" w:rsidRDefault="00AE6A9C" w:rsidP="008E316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 xml:space="preserve">This policy and procedure aim all employees and prospective employees to be treated fairly and equally for pursuing PVG in line with legislation. </w:t>
            </w:r>
            <w:r w:rsidR="007706C0" w:rsidRPr="00DF2C4B">
              <w:rPr>
                <w:rFonts w:ascii="Lato" w:hAnsi="Lato"/>
                <w:sz w:val="22"/>
                <w:szCs w:val="22"/>
              </w:rPr>
              <w:t>The College ensure that those protected characteristics people should not be received any negative impact due to this P</w:t>
            </w:r>
            <w:r w:rsidR="00B36EB3" w:rsidRPr="00DF2C4B">
              <w:rPr>
                <w:rFonts w:ascii="Lato" w:hAnsi="Lato"/>
                <w:sz w:val="22"/>
                <w:szCs w:val="22"/>
              </w:rPr>
              <w:t>olicy and Procedure.</w:t>
            </w:r>
          </w:p>
        </w:tc>
      </w:tr>
      <w:tr w:rsidR="007706C0" w:rsidRPr="00B333E6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7706C0" w:rsidRPr="00470D01" w:rsidRDefault="007706C0" w:rsidP="007706C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7E1E9837" w:rsidR="007706C0" w:rsidRPr="00DF2C4B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DF2C4B">
              <w:rPr>
                <w:rFonts w:ascii="Lato" w:hAnsi="Lato"/>
                <w:sz w:val="22"/>
                <w:szCs w:val="22"/>
              </w:rPr>
              <w:t>HR team</w:t>
            </w:r>
            <w:r w:rsidR="00D7291C" w:rsidRPr="00DF2C4B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7706C0" w:rsidRPr="00B333E6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7706C0" w:rsidRPr="00470D01" w:rsidRDefault="007706C0" w:rsidP="007706C0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470D01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B333E6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lastRenderedPageBreak/>
              <w:t xml:space="preserve">Recommended </w:t>
            </w:r>
            <w:r w:rsidR="009975A9"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470D0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470D0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470D0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470D01">
              <w:rPr>
                <w:rFonts w:ascii="Lato" w:hAnsi="Lato"/>
                <w:sz w:val="22"/>
                <w:szCs w:val="22"/>
              </w:rPr>
              <w:t>)</w:t>
            </w:r>
            <w:r w:rsidR="00FC6575"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470D01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470D01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470D01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470D01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470D01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470D01">
              <w:rPr>
                <w:rFonts w:ascii="Lato" w:hAnsi="Lato"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B333E6" w14:paraId="39CA6BF5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2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470D0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470D01">
              <w:rPr>
                <w:rFonts w:ascii="Lato" w:hAnsi="Lato"/>
                <w:sz w:val="22"/>
                <w:szCs w:val="22"/>
              </w:rPr>
              <w:t>:</w:t>
            </w:r>
            <w:r w:rsidR="009B759A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1A9CB423" w:rsidR="00C81A1C" w:rsidRPr="00470D01" w:rsidRDefault="008B67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X</w:t>
            </w:r>
          </w:p>
        </w:tc>
      </w:tr>
      <w:tr w:rsidR="00C81A1C" w:rsidRPr="00B333E6" w14:paraId="39CA6BF9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6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470D0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470D01">
              <w:rPr>
                <w:rFonts w:ascii="Lato" w:hAnsi="Lato"/>
                <w:sz w:val="22"/>
                <w:szCs w:val="22"/>
              </w:rPr>
              <w:t>:</w:t>
            </w:r>
            <w:r w:rsidR="00675548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B333E6" w14:paraId="39CA6BFD" w14:textId="77777777" w:rsidTr="007C1F96">
        <w:trPr>
          <w:trHeight w:val="63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FA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470D0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470D01">
              <w:rPr>
                <w:rFonts w:ascii="Lato" w:hAnsi="Lato"/>
                <w:sz w:val="22"/>
                <w:szCs w:val="22"/>
              </w:rPr>
              <w:t>:</w:t>
            </w:r>
            <w:r w:rsidR="00675548" w:rsidRPr="00470D01">
              <w:rPr>
                <w:rFonts w:ascii="Lato" w:hAnsi="Lato"/>
                <w:sz w:val="22"/>
                <w:szCs w:val="22"/>
              </w:rPr>
              <w:tab/>
            </w:r>
            <w:r w:rsidRPr="00470D01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B333E6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470D01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470D01">
              <w:rPr>
                <w:rFonts w:ascii="Lato" w:hAnsi="Lato"/>
                <w:sz w:val="22"/>
                <w:szCs w:val="22"/>
              </w:rPr>
              <w:t>o</w:t>
            </w:r>
            <w:r w:rsidR="00473F86" w:rsidRPr="00470D01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470D01">
              <w:rPr>
                <w:rFonts w:ascii="Lato" w:hAnsi="Lato"/>
                <w:sz w:val="22"/>
                <w:szCs w:val="22"/>
              </w:rPr>
              <w:t>r</w:t>
            </w:r>
            <w:r w:rsidR="00473F86" w:rsidRPr="00470D01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470D01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B333E6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470D01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470D01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470D01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</w:t>
      </w:r>
      <w:r w:rsidR="00777F52" w:rsidRPr="00470D01">
        <w:rPr>
          <w:rFonts w:ascii="Lato" w:hAnsi="Lato"/>
          <w:b/>
          <w:sz w:val="22"/>
          <w:szCs w:val="22"/>
        </w:rPr>
        <w:t xml:space="preserve"> </w:t>
      </w:r>
      <w:r w:rsidR="003E0686" w:rsidRPr="00470D01">
        <w:rPr>
          <w:rFonts w:ascii="Lato" w:hAnsi="Lato"/>
          <w:b/>
          <w:sz w:val="22"/>
          <w:szCs w:val="22"/>
        </w:rPr>
        <w:t>5</w:t>
      </w:r>
      <w:r w:rsidR="005C1F2A" w:rsidRPr="00470D01">
        <w:rPr>
          <w:rFonts w:ascii="Lato" w:hAnsi="Lato"/>
          <w:b/>
          <w:sz w:val="22"/>
          <w:szCs w:val="22"/>
        </w:rPr>
        <w:t>: The monitoring and review stage</w:t>
      </w:r>
      <w:r w:rsidR="0053368B" w:rsidRPr="00470D01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B333E6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470D01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470D01" w:rsidRDefault="009975A9" w:rsidP="00470D01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70D01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470D01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70D01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470D01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470D01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470D01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16"/>
                <w:szCs w:val="16"/>
              </w:rPr>
            </w:pPr>
            <w:r w:rsidRPr="00470D01">
              <w:rPr>
                <w:rFonts w:ascii="Lato" w:hAnsi="Lato"/>
                <w:bCs/>
                <w:sz w:val="16"/>
                <w:szCs w:val="16"/>
              </w:rPr>
              <w:t>See Note 10</w:t>
            </w:r>
          </w:p>
        </w:tc>
      </w:tr>
      <w:tr w:rsidR="00C81A1C" w:rsidRPr="00B333E6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>T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470D01">
              <w:rPr>
                <w:rFonts w:ascii="Lato" w:hAnsi="Lato"/>
                <w:b/>
                <w:sz w:val="22"/>
                <w:szCs w:val="22"/>
              </w:rPr>
              <w:t>: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470D01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470D01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470D01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470D0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470D01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470D0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470D01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470D01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470D01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706C0" w:rsidRPr="00B333E6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591718E8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Ensure all employees and prospected employees are made aware of the existence and purpose of this policy and procedure.</w:t>
            </w:r>
            <w:r w:rsidR="00E953B5" w:rsidRPr="00470D01">
              <w:rPr>
                <w:rFonts w:ascii="Lato" w:hAnsi="Lato"/>
                <w:sz w:val="22"/>
                <w:szCs w:val="22"/>
              </w:rPr>
              <w:t xml:space="preserve">  Sensitive approach may be required for different groups</w:t>
            </w:r>
            <w:r w:rsidR="00B36EB3"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6837F762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Sue Clyne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6CF0B9F7" w:rsidR="007706C0" w:rsidRPr="00470D01" w:rsidRDefault="008F725A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7706C0" w:rsidRPr="00B333E6" w14:paraId="75CA2D8A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1D99C9B7" w14:textId="1ACD541F" w:rsidR="007706C0" w:rsidRPr="00470D01" w:rsidRDefault="00DE22CD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Ensure </w:t>
            </w:r>
            <w:r w:rsidR="007706C0" w:rsidRPr="00470D01">
              <w:rPr>
                <w:rFonts w:ascii="Lato" w:hAnsi="Lato"/>
                <w:sz w:val="22"/>
                <w:szCs w:val="22"/>
              </w:rPr>
              <w:t xml:space="preserve">HR team and counter signatory employees </w:t>
            </w:r>
            <w:r w:rsidRPr="00470D01">
              <w:rPr>
                <w:rFonts w:ascii="Lato" w:hAnsi="Lato"/>
                <w:sz w:val="22"/>
                <w:szCs w:val="22"/>
              </w:rPr>
              <w:t>will receive an appropriate training and up to date legislative information to conduct PVG</w:t>
            </w:r>
            <w:r w:rsidR="00E73602">
              <w:rPr>
                <w:rFonts w:ascii="Lato" w:hAnsi="Lato"/>
                <w:sz w:val="22"/>
                <w:szCs w:val="22"/>
              </w:rPr>
              <w:t xml:space="preserve"> checks</w:t>
            </w:r>
            <w:r w:rsidR="00E953B5" w:rsidRPr="00470D01">
              <w:rPr>
                <w:rFonts w:ascii="Lato" w:hAnsi="Lato"/>
                <w:sz w:val="22"/>
                <w:szCs w:val="22"/>
              </w:rPr>
              <w:t>.  Where necessary, advise employees of the possible delays in the process due to lack of consecutive addresses</w:t>
            </w:r>
            <w:r w:rsidR="00A27CD9" w:rsidRPr="00470D01">
              <w:rPr>
                <w:rFonts w:ascii="Lato" w:hAnsi="Lato"/>
                <w:sz w:val="22"/>
                <w:szCs w:val="22"/>
              </w:rPr>
              <w:t>, change of name</w:t>
            </w:r>
            <w:r w:rsidR="00E953B5" w:rsidRPr="00470D01">
              <w:rPr>
                <w:rFonts w:ascii="Lato" w:hAnsi="Lato"/>
                <w:sz w:val="22"/>
                <w:szCs w:val="22"/>
              </w:rPr>
              <w:t xml:space="preserve"> or having lived abroad.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FDC31C5" w14:textId="41DF63EF" w:rsidR="007706C0" w:rsidRPr="00470D01" w:rsidRDefault="00DE22CD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Sue Clyne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D6E2690" w14:textId="5D3FD35A" w:rsidR="007706C0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953B5" w:rsidRPr="00B333E6" w14:paraId="009F0229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4C1A76BC" w14:textId="57C1EA15" w:rsidR="00E953B5" w:rsidRPr="00470D01" w:rsidRDefault="00E953B5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lastRenderedPageBreak/>
              <w:t>Provide additional assistance to individuals who require support in completing the form.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E49EE8D" w14:textId="18DB0ECB" w:rsidR="00E953B5" w:rsidRPr="00470D01" w:rsidRDefault="00B36EB3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Recruitment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517269" w14:textId="678F0861" w:rsidR="00E953B5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953B5" w:rsidRPr="00B333E6" w14:paraId="7B29F746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7BD28A72" w14:textId="3A94DEB5" w:rsidR="00E953B5" w:rsidRPr="00470D01" w:rsidRDefault="00E953B5" w:rsidP="00A27CD9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Provide opportunities for individuals to explain their circumstances and make fair judgement</w:t>
            </w:r>
            <w:r w:rsidR="00550E3D">
              <w:rPr>
                <w:rFonts w:ascii="Lato" w:hAnsi="Lato"/>
                <w:sz w:val="22"/>
                <w:szCs w:val="22"/>
              </w:rPr>
              <w:t>s based on a risk assessment approach</w:t>
            </w:r>
            <w:r w:rsidRPr="00470D0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57163525" w14:textId="47A1948E" w:rsidR="00E953B5" w:rsidRPr="00470D01" w:rsidRDefault="00B36EB3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HR and managers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A019E7E" w14:textId="02DCDDD0" w:rsidR="00E953B5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953B5" w:rsidRPr="00B333E6" w14:paraId="4FD534C9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7B515265" w14:textId="76C26373" w:rsidR="00E953B5" w:rsidRPr="00470D01" w:rsidRDefault="00A27CD9" w:rsidP="007706C0">
            <w:pPr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Provide sensitive support for individuals who may have offences noted in their PVG</w:t>
            </w:r>
            <w:r w:rsidR="00D7291C">
              <w:rPr>
                <w:rFonts w:ascii="Lato" w:hAnsi="Lato"/>
                <w:sz w:val="22"/>
                <w:szCs w:val="22"/>
              </w:rPr>
              <w:t xml:space="preserve"> by undertaking a risk assessment of the circumstances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79D2E686" w14:textId="1A6E1B28" w:rsidR="00E953B5" w:rsidRPr="00470D01" w:rsidRDefault="00D7291C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</w:t>
            </w:r>
            <w:r w:rsidR="00B36EB3" w:rsidRPr="00470D01">
              <w:rPr>
                <w:rFonts w:ascii="Lato" w:hAnsi="Lato"/>
                <w:sz w:val="22"/>
                <w:szCs w:val="22"/>
              </w:rPr>
              <w:t>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AE28A02" w14:textId="5F1C9D43" w:rsidR="00E953B5" w:rsidRPr="00470D01" w:rsidRDefault="008F725A" w:rsidP="007706C0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7706C0" w:rsidRPr="00B333E6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4267879D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Undertake a 3-yearly review of the policy and procedure,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18CA753F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 xml:space="preserve">Sue Clyne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2A00A8E3" w:rsidR="007706C0" w:rsidRPr="00470D01" w:rsidRDefault="007706C0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sz w:val="22"/>
                <w:szCs w:val="22"/>
              </w:rPr>
              <w:t>3 yearly (or more frequently if required)</w:t>
            </w:r>
          </w:p>
        </w:tc>
      </w:tr>
      <w:tr w:rsidR="00637E7C" w:rsidRPr="00B333E6" w14:paraId="39CA6C1C" w14:textId="77777777" w:rsidTr="00DF2C4B">
        <w:trPr>
          <w:trHeight w:val="153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77777777" w:rsidR="00637E7C" w:rsidRPr="00470D01" w:rsidRDefault="00637E7C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77777777" w:rsidR="00637E7C" w:rsidRPr="00470D01" w:rsidRDefault="00637E7C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77777777" w:rsidR="00637E7C" w:rsidRPr="00470D01" w:rsidRDefault="00637E7C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DF2C4B" w:rsidRPr="00B333E6" w14:paraId="39CA6C20" w14:textId="77777777" w:rsidTr="00832CEB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1F" w14:textId="46067540" w:rsidR="00DF2C4B" w:rsidRPr="00470D01" w:rsidRDefault="00DF2C4B" w:rsidP="007706C0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Signature of Lead:    </w:t>
            </w:r>
            <w:r w:rsidRPr="00470D01">
              <w:rPr>
                <w:rFonts w:ascii="Lato" w:hAnsi="Lato"/>
                <w:sz w:val="22"/>
                <w:szCs w:val="22"/>
              </w:rPr>
              <w:tab/>
            </w:r>
            <w:r w:rsidRPr="0074170C">
              <w:rPr>
                <w:rFonts w:ascii="Lato" w:hAnsi="Lato"/>
                <w:noProof/>
              </w:rPr>
              <w:drawing>
                <wp:inline distT="0" distB="0" distL="0" distR="0" wp14:anchorId="254752C0" wp14:editId="3C3E4D1E">
                  <wp:extent cx="1380713" cy="332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77" cy="34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D01">
              <w:rPr>
                <w:rFonts w:ascii="Lato" w:hAnsi="Lato"/>
                <w:sz w:val="22"/>
                <w:szCs w:val="22"/>
              </w:rPr>
              <w:tab/>
            </w:r>
            <w:r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</w:t>
            </w:r>
            <w:r w:rsidRPr="00470D01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470D01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470D0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470D01" w:rsidRDefault="003E0686" w:rsidP="00F72963">
      <w:pPr>
        <w:spacing w:after="0"/>
        <w:rPr>
          <w:rFonts w:ascii="Lato" w:hAnsi="Lato"/>
          <w:sz w:val="16"/>
          <w:szCs w:val="16"/>
        </w:rPr>
      </w:pPr>
      <w:r w:rsidRPr="00470D01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470D01" w:rsidRDefault="003E0686" w:rsidP="00F72963">
      <w:p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Please send the completed EIA record to </w:t>
      </w:r>
      <w:hyperlink r:id="rId13" w:history="1">
        <w:r w:rsidRPr="00470D01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470D01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470D01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 xml:space="preserve">review by </w:t>
      </w:r>
      <w:r w:rsidR="006611B4" w:rsidRPr="00470D01">
        <w:rPr>
          <w:rFonts w:ascii="Lato" w:hAnsi="Lato"/>
          <w:sz w:val="22"/>
          <w:szCs w:val="22"/>
        </w:rPr>
        <w:t>Qualit</w:t>
      </w:r>
      <w:r w:rsidR="00BB1C6B" w:rsidRPr="00470D01">
        <w:rPr>
          <w:rFonts w:ascii="Lato" w:hAnsi="Lato"/>
          <w:sz w:val="22"/>
          <w:szCs w:val="22"/>
        </w:rPr>
        <w:t>y</w:t>
      </w:r>
      <w:r w:rsidR="006611B4" w:rsidRPr="00470D01">
        <w:rPr>
          <w:rFonts w:ascii="Lato" w:hAnsi="Lato"/>
          <w:sz w:val="22"/>
          <w:szCs w:val="22"/>
        </w:rPr>
        <w:t xml:space="preserve"> and </w:t>
      </w:r>
      <w:r w:rsidR="00794BF3" w:rsidRPr="00470D01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470D01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470D01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470D01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B333E6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470D01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470D01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5A13DB57" w:rsidR="003E0686" w:rsidRPr="00470D01" w:rsidRDefault="008B67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12 December 2024</w:t>
            </w:r>
          </w:p>
        </w:tc>
      </w:tr>
      <w:tr w:rsidR="006E0572" w:rsidRPr="00B333E6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470D01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70D01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0DF4C157" w:rsidR="006E0572" w:rsidRPr="00470D01" w:rsidRDefault="00A27301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A27301">
              <w:rPr>
                <w:rFonts w:ascii="Lato" w:hAnsi="Lato"/>
                <w:b/>
                <w:sz w:val="22"/>
                <w:szCs w:val="22"/>
              </w:rPr>
              <w:t>11 March 2025</w:t>
            </w:r>
            <w:bookmarkStart w:id="2" w:name="_GoBack"/>
            <w:bookmarkEnd w:id="2"/>
          </w:p>
        </w:tc>
      </w:tr>
    </w:tbl>
    <w:p w14:paraId="39CA6C2D" w14:textId="77777777" w:rsidR="00E21817" w:rsidRPr="00670940" w:rsidRDefault="00E21817" w:rsidP="00F72963">
      <w:pPr>
        <w:spacing w:after="0"/>
        <w:rPr>
          <w:sz w:val="20"/>
          <w:szCs w:val="20"/>
        </w:rPr>
      </w:pPr>
    </w:p>
    <w:sectPr w:rsidR="00E21817" w:rsidRPr="00670940" w:rsidSect="00085A41">
      <w:footerReference w:type="default" r:id="rId14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631AA" w14:textId="77777777" w:rsidR="00197D74" w:rsidRDefault="00197D74" w:rsidP="00EC6BAC">
      <w:pPr>
        <w:spacing w:after="0" w:line="240" w:lineRule="auto"/>
      </w:pPr>
      <w:r>
        <w:separator/>
      </w:r>
    </w:p>
  </w:endnote>
  <w:endnote w:type="continuationSeparator" w:id="0">
    <w:p w14:paraId="4AB9D390" w14:textId="77777777" w:rsidR="00197D74" w:rsidRDefault="00197D74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A27301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DC7D" w14:textId="77777777" w:rsidR="00197D74" w:rsidRDefault="00197D74" w:rsidP="00EC6BAC">
      <w:pPr>
        <w:spacing w:after="0" w:line="240" w:lineRule="auto"/>
      </w:pPr>
      <w:r>
        <w:separator/>
      </w:r>
    </w:p>
  </w:footnote>
  <w:footnote w:type="continuationSeparator" w:id="0">
    <w:p w14:paraId="755624B3" w14:textId="77777777" w:rsidR="00197D74" w:rsidRDefault="00197D74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169D"/>
    <w:multiLevelType w:val="multilevel"/>
    <w:tmpl w:val="1FB4BCA2"/>
    <w:lvl w:ilvl="0">
      <w:start w:val="1"/>
      <w:numFmt w:val="decimal"/>
      <w:lvlText w:val="%1."/>
      <w:lvlJc w:val="left"/>
      <w:pPr>
        <w:ind w:left="1528" w:hanging="497"/>
        <w:jc w:val="right"/>
      </w:pPr>
      <w:rPr>
        <w:rFonts w:hint="default"/>
        <w:spacing w:val="-1"/>
        <w:w w:val="8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2" w:hanging="712"/>
      </w:pPr>
      <w:rPr>
        <w:rFonts w:hint="default"/>
        <w:b/>
        <w:spacing w:val="-1"/>
        <w:w w:val="9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21" w:hanging="712"/>
      </w:pPr>
      <w:rPr>
        <w:rFonts w:hint="default"/>
        <w:spacing w:val="-3"/>
        <w:w w:val="98"/>
        <w:lang w:val="en-US" w:eastAsia="en-US" w:bidi="ar-SA"/>
      </w:rPr>
    </w:lvl>
    <w:lvl w:ilvl="3">
      <w:numFmt w:val="bullet"/>
      <w:lvlText w:val="•"/>
      <w:lvlJc w:val="left"/>
      <w:pPr>
        <w:ind w:left="3554" w:hanging="7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9" w:hanging="7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4" w:hanging="7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9" w:hanging="7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4" w:hanging="7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9" w:hanging="712"/>
      </w:pPr>
      <w:rPr>
        <w:rFonts w:hint="default"/>
        <w:lang w:val="en-US" w:eastAsia="en-US" w:bidi="ar-SA"/>
      </w:rPr>
    </w:lvl>
  </w:abstractNum>
  <w:abstractNum w:abstractNumId="2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1517B"/>
    <w:rsid w:val="00021116"/>
    <w:rsid w:val="00040BAC"/>
    <w:rsid w:val="00046FB6"/>
    <w:rsid w:val="00051925"/>
    <w:rsid w:val="00051B0F"/>
    <w:rsid w:val="00061ECF"/>
    <w:rsid w:val="00073106"/>
    <w:rsid w:val="0008211F"/>
    <w:rsid w:val="00085A41"/>
    <w:rsid w:val="00090CE9"/>
    <w:rsid w:val="000912C8"/>
    <w:rsid w:val="00092415"/>
    <w:rsid w:val="0009275B"/>
    <w:rsid w:val="000A181E"/>
    <w:rsid w:val="000A2B52"/>
    <w:rsid w:val="000B7095"/>
    <w:rsid w:val="000C7526"/>
    <w:rsid w:val="000D32DE"/>
    <w:rsid w:val="000D7B4B"/>
    <w:rsid w:val="00106EAB"/>
    <w:rsid w:val="00112679"/>
    <w:rsid w:val="001133B2"/>
    <w:rsid w:val="00113E60"/>
    <w:rsid w:val="0012152C"/>
    <w:rsid w:val="00132768"/>
    <w:rsid w:val="001502E0"/>
    <w:rsid w:val="00153782"/>
    <w:rsid w:val="00160357"/>
    <w:rsid w:val="00166A92"/>
    <w:rsid w:val="00170D6C"/>
    <w:rsid w:val="00174EC8"/>
    <w:rsid w:val="00175CB7"/>
    <w:rsid w:val="001812C7"/>
    <w:rsid w:val="001832E8"/>
    <w:rsid w:val="001845F7"/>
    <w:rsid w:val="00193859"/>
    <w:rsid w:val="00197D74"/>
    <w:rsid w:val="001B75BB"/>
    <w:rsid w:val="001C5461"/>
    <w:rsid w:val="001D31B4"/>
    <w:rsid w:val="001E121F"/>
    <w:rsid w:val="001E73F1"/>
    <w:rsid w:val="001E7F45"/>
    <w:rsid w:val="00202247"/>
    <w:rsid w:val="00211D20"/>
    <w:rsid w:val="00216CE3"/>
    <w:rsid w:val="0021774A"/>
    <w:rsid w:val="00226D9E"/>
    <w:rsid w:val="00236EF7"/>
    <w:rsid w:val="00250155"/>
    <w:rsid w:val="002559CA"/>
    <w:rsid w:val="0026100E"/>
    <w:rsid w:val="00262B9B"/>
    <w:rsid w:val="0027399A"/>
    <w:rsid w:val="002A21A0"/>
    <w:rsid w:val="002A3745"/>
    <w:rsid w:val="002B33E5"/>
    <w:rsid w:val="002B3744"/>
    <w:rsid w:val="002B6FA0"/>
    <w:rsid w:val="002D3A9A"/>
    <w:rsid w:val="002D57F4"/>
    <w:rsid w:val="002F31D7"/>
    <w:rsid w:val="002F6BC8"/>
    <w:rsid w:val="002F7099"/>
    <w:rsid w:val="00321C45"/>
    <w:rsid w:val="003228F0"/>
    <w:rsid w:val="00323A6A"/>
    <w:rsid w:val="00325293"/>
    <w:rsid w:val="00330A7C"/>
    <w:rsid w:val="00331C19"/>
    <w:rsid w:val="00337760"/>
    <w:rsid w:val="00340898"/>
    <w:rsid w:val="00343996"/>
    <w:rsid w:val="00345E3E"/>
    <w:rsid w:val="00347AED"/>
    <w:rsid w:val="0035084D"/>
    <w:rsid w:val="00367569"/>
    <w:rsid w:val="00371155"/>
    <w:rsid w:val="003714EC"/>
    <w:rsid w:val="003747D2"/>
    <w:rsid w:val="00383A03"/>
    <w:rsid w:val="00395271"/>
    <w:rsid w:val="003A76BF"/>
    <w:rsid w:val="003B2781"/>
    <w:rsid w:val="003B3F27"/>
    <w:rsid w:val="003B4171"/>
    <w:rsid w:val="003B5621"/>
    <w:rsid w:val="003C2BC3"/>
    <w:rsid w:val="003E0686"/>
    <w:rsid w:val="003E3068"/>
    <w:rsid w:val="003E723B"/>
    <w:rsid w:val="003F16C5"/>
    <w:rsid w:val="003F4CB6"/>
    <w:rsid w:val="003F702E"/>
    <w:rsid w:val="00404A4A"/>
    <w:rsid w:val="00405C44"/>
    <w:rsid w:val="00410ECC"/>
    <w:rsid w:val="0041433B"/>
    <w:rsid w:val="004175D0"/>
    <w:rsid w:val="0043183F"/>
    <w:rsid w:val="004336CB"/>
    <w:rsid w:val="00446896"/>
    <w:rsid w:val="0044724F"/>
    <w:rsid w:val="00470D01"/>
    <w:rsid w:val="00473F86"/>
    <w:rsid w:val="00477857"/>
    <w:rsid w:val="00483B7F"/>
    <w:rsid w:val="004927CF"/>
    <w:rsid w:val="0049436B"/>
    <w:rsid w:val="004950A8"/>
    <w:rsid w:val="004A08E7"/>
    <w:rsid w:val="004A194C"/>
    <w:rsid w:val="004A4F3F"/>
    <w:rsid w:val="004A7B9E"/>
    <w:rsid w:val="004B3B6D"/>
    <w:rsid w:val="004C119F"/>
    <w:rsid w:val="004C50CC"/>
    <w:rsid w:val="004C727B"/>
    <w:rsid w:val="004D513D"/>
    <w:rsid w:val="004E2AB0"/>
    <w:rsid w:val="004E5274"/>
    <w:rsid w:val="004E667F"/>
    <w:rsid w:val="005215CF"/>
    <w:rsid w:val="0052493B"/>
    <w:rsid w:val="0053368B"/>
    <w:rsid w:val="00545FA5"/>
    <w:rsid w:val="00550E3D"/>
    <w:rsid w:val="00551062"/>
    <w:rsid w:val="00562A05"/>
    <w:rsid w:val="00566710"/>
    <w:rsid w:val="00583FD9"/>
    <w:rsid w:val="00587CA2"/>
    <w:rsid w:val="00590127"/>
    <w:rsid w:val="005950BA"/>
    <w:rsid w:val="005A5B26"/>
    <w:rsid w:val="005B2EA3"/>
    <w:rsid w:val="005B50FA"/>
    <w:rsid w:val="005B6804"/>
    <w:rsid w:val="005C1F2A"/>
    <w:rsid w:val="005C2CD1"/>
    <w:rsid w:val="005D06C2"/>
    <w:rsid w:val="005D405A"/>
    <w:rsid w:val="005E2E3B"/>
    <w:rsid w:val="005E5272"/>
    <w:rsid w:val="005E715E"/>
    <w:rsid w:val="005F4827"/>
    <w:rsid w:val="00610DC7"/>
    <w:rsid w:val="00612920"/>
    <w:rsid w:val="0061726E"/>
    <w:rsid w:val="00617783"/>
    <w:rsid w:val="0062032F"/>
    <w:rsid w:val="00633C01"/>
    <w:rsid w:val="00634366"/>
    <w:rsid w:val="00637B29"/>
    <w:rsid w:val="00637E7C"/>
    <w:rsid w:val="00650DAA"/>
    <w:rsid w:val="00655619"/>
    <w:rsid w:val="00656F1C"/>
    <w:rsid w:val="006611B4"/>
    <w:rsid w:val="0066419E"/>
    <w:rsid w:val="00670940"/>
    <w:rsid w:val="00675548"/>
    <w:rsid w:val="006845D3"/>
    <w:rsid w:val="00692E21"/>
    <w:rsid w:val="00694650"/>
    <w:rsid w:val="006964A4"/>
    <w:rsid w:val="006A7A06"/>
    <w:rsid w:val="006B3A69"/>
    <w:rsid w:val="006B7E5C"/>
    <w:rsid w:val="006C117B"/>
    <w:rsid w:val="006D0B08"/>
    <w:rsid w:val="006D3F43"/>
    <w:rsid w:val="006E0572"/>
    <w:rsid w:val="006F48B0"/>
    <w:rsid w:val="006F4FC8"/>
    <w:rsid w:val="006F6DC4"/>
    <w:rsid w:val="0070228B"/>
    <w:rsid w:val="00706148"/>
    <w:rsid w:val="00706168"/>
    <w:rsid w:val="007062FE"/>
    <w:rsid w:val="0070758D"/>
    <w:rsid w:val="0071002A"/>
    <w:rsid w:val="0071426D"/>
    <w:rsid w:val="007246FF"/>
    <w:rsid w:val="00726171"/>
    <w:rsid w:val="00726620"/>
    <w:rsid w:val="007319D2"/>
    <w:rsid w:val="0077004D"/>
    <w:rsid w:val="007706C0"/>
    <w:rsid w:val="00773E8C"/>
    <w:rsid w:val="00774188"/>
    <w:rsid w:val="00777B45"/>
    <w:rsid w:val="00777F52"/>
    <w:rsid w:val="00783596"/>
    <w:rsid w:val="00792882"/>
    <w:rsid w:val="00794BF3"/>
    <w:rsid w:val="00795D1E"/>
    <w:rsid w:val="0079621C"/>
    <w:rsid w:val="00797058"/>
    <w:rsid w:val="007A44BC"/>
    <w:rsid w:val="007A72E3"/>
    <w:rsid w:val="007B4F24"/>
    <w:rsid w:val="007C0549"/>
    <w:rsid w:val="007C1F96"/>
    <w:rsid w:val="007E21BB"/>
    <w:rsid w:val="007E3F5A"/>
    <w:rsid w:val="007F24AD"/>
    <w:rsid w:val="008048E9"/>
    <w:rsid w:val="00810BFD"/>
    <w:rsid w:val="00836A55"/>
    <w:rsid w:val="0084757F"/>
    <w:rsid w:val="00850631"/>
    <w:rsid w:val="00851AC2"/>
    <w:rsid w:val="0085243E"/>
    <w:rsid w:val="00877049"/>
    <w:rsid w:val="008823B1"/>
    <w:rsid w:val="0089137F"/>
    <w:rsid w:val="008A5BD0"/>
    <w:rsid w:val="008B469B"/>
    <w:rsid w:val="008B6788"/>
    <w:rsid w:val="008C6AD7"/>
    <w:rsid w:val="008D5F9D"/>
    <w:rsid w:val="008E0C3F"/>
    <w:rsid w:val="008E316A"/>
    <w:rsid w:val="008F0BB8"/>
    <w:rsid w:val="008F1444"/>
    <w:rsid w:val="008F725A"/>
    <w:rsid w:val="00912348"/>
    <w:rsid w:val="0091247F"/>
    <w:rsid w:val="0091296E"/>
    <w:rsid w:val="0091480F"/>
    <w:rsid w:val="009229D8"/>
    <w:rsid w:val="00935DF2"/>
    <w:rsid w:val="00936920"/>
    <w:rsid w:val="00936C61"/>
    <w:rsid w:val="009434D9"/>
    <w:rsid w:val="00943B03"/>
    <w:rsid w:val="00945F8C"/>
    <w:rsid w:val="00955897"/>
    <w:rsid w:val="00957B71"/>
    <w:rsid w:val="009748F9"/>
    <w:rsid w:val="00976A7A"/>
    <w:rsid w:val="009770BB"/>
    <w:rsid w:val="00995163"/>
    <w:rsid w:val="009975A9"/>
    <w:rsid w:val="009A6C9A"/>
    <w:rsid w:val="009A7D81"/>
    <w:rsid w:val="009B2C0F"/>
    <w:rsid w:val="009B759A"/>
    <w:rsid w:val="009C5AF9"/>
    <w:rsid w:val="009C7F64"/>
    <w:rsid w:val="009D46E0"/>
    <w:rsid w:val="009D49E6"/>
    <w:rsid w:val="009D55A4"/>
    <w:rsid w:val="009D7A0F"/>
    <w:rsid w:val="009D7A8C"/>
    <w:rsid w:val="009D7F1F"/>
    <w:rsid w:val="009E7D4E"/>
    <w:rsid w:val="00A072C3"/>
    <w:rsid w:val="00A15DA3"/>
    <w:rsid w:val="00A17DE9"/>
    <w:rsid w:val="00A22B97"/>
    <w:rsid w:val="00A27301"/>
    <w:rsid w:val="00A27CD9"/>
    <w:rsid w:val="00A35ECD"/>
    <w:rsid w:val="00A42814"/>
    <w:rsid w:val="00A44C87"/>
    <w:rsid w:val="00A46D23"/>
    <w:rsid w:val="00A53233"/>
    <w:rsid w:val="00A535BD"/>
    <w:rsid w:val="00A64B24"/>
    <w:rsid w:val="00A76B39"/>
    <w:rsid w:val="00AA28E4"/>
    <w:rsid w:val="00AA7470"/>
    <w:rsid w:val="00AB0063"/>
    <w:rsid w:val="00AB08C1"/>
    <w:rsid w:val="00AB52AD"/>
    <w:rsid w:val="00AC06CE"/>
    <w:rsid w:val="00AC2C10"/>
    <w:rsid w:val="00AD3F42"/>
    <w:rsid w:val="00AD4CAC"/>
    <w:rsid w:val="00AD7ED7"/>
    <w:rsid w:val="00AE0F0A"/>
    <w:rsid w:val="00AE6A9C"/>
    <w:rsid w:val="00AE755D"/>
    <w:rsid w:val="00AF4FFA"/>
    <w:rsid w:val="00B034A7"/>
    <w:rsid w:val="00B066DF"/>
    <w:rsid w:val="00B11504"/>
    <w:rsid w:val="00B140A6"/>
    <w:rsid w:val="00B143E2"/>
    <w:rsid w:val="00B14D93"/>
    <w:rsid w:val="00B333E6"/>
    <w:rsid w:val="00B36EB3"/>
    <w:rsid w:val="00B55180"/>
    <w:rsid w:val="00B57100"/>
    <w:rsid w:val="00B62096"/>
    <w:rsid w:val="00B661F5"/>
    <w:rsid w:val="00B805BB"/>
    <w:rsid w:val="00B8537C"/>
    <w:rsid w:val="00B94D76"/>
    <w:rsid w:val="00BA4E2A"/>
    <w:rsid w:val="00BB1C6B"/>
    <w:rsid w:val="00BB1DC1"/>
    <w:rsid w:val="00BC2C13"/>
    <w:rsid w:val="00BC31F3"/>
    <w:rsid w:val="00BC69D9"/>
    <w:rsid w:val="00BD0CF6"/>
    <w:rsid w:val="00BD1854"/>
    <w:rsid w:val="00BD66CC"/>
    <w:rsid w:val="00BE355E"/>
    <w:rsid w:val="00BF16DD"/>
    <w:rsid w:val="00C01081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61BAA"/>
    <w:rsid w:val="00C76212"/>
    <w:rsid w:val="00C81A1C"/>
    <w:rsid w:val="00C85426"/>
    <w:rsid w:val="00C91BE9"/>
    <w:rsid w:val="00C9206B"/>
    <w:rsid w:val="00C96FE3"/>
    <w:rsid w:val="00CA1013"/>
    <w:rsid w:val="00CC15A8"/>
    <w:rsid w:val="00CD1667"/>
    <w:rsid w:val="00CE01C1"/>
    <w:rsid w:val="00CF30E8"/>
    <w:rsid w:val="00D11803"/>
    <w:rsid w:val="00D234C4"/>
    <w:rsid w:val="00D534BE"/>
    <w:rsid w:val="00D56CEC"/>
    <w:rsid w:val="00D605DD"/>
    <w:rsid w:val="00D60C67"/>
    <w:rsid w:val="00D612B4"/>
    <w:rsid w:val="00D7291C"/>
    <w:rsid w:val="00D73F3C"/>
    <w:rsid w:val="00D75C8B"/>
    <w:rsid w:val="00D77EBC"/>
    <w:rsid w:val="00D8237D"/>
    <w:rsid w:val="00DA6FC9"/>
    <w:rsid w:val="00DB3363"/>
    <w:rsid w:val="00DB3B32"/>
    <w:rsid w:val="00DB4EBC"/>
    <w:rsid w:val="00DB7C35"/>
    <w:rsid w:val="00DD267E"/>
    <w:rsid w:val="00DD7B32"/>
    <w:rsid w:val="00DE22CD"/>
    <w:rsid w:val="00DE6D25"/>
    <w:rsid w:val="00DF2C4B"/>
    <w:rsid w:val="00DF5C73"/>
    <w:rsid w:val="00E00BB0"/>
    <w:rsid w:val="00E061D9"/>
    <w:rsid w:val="00E16238"/>
    <w:rsid w:val="00E21817"/>
    <w:rsid w:val="00E54410"/>
    <w:rsid w:val="00E545F9"/>
    <w:rsid w:val="00E60538"/>
    <w:rsid w:val="00E61161"/>
    <w:rsid w:val="00E6246B"/>
    <w:rsid w:val="00E73602"/>
    <w:rsid w:val="00E73AAF"/>
    <w:rsid w:val="00E818AB"/>
    <w:rsid w:val="00E84DA6"/>
    <w:rsid w:val="00E8733F"/>
    <w:rsid w:val="00E900AA"/>
    <w:rsid w:val="00E953B5"/>
    <w:rsid w:val="00E9760D"/>
    <w:rsid w:val="00EA35B2"/>
    <w:rsid w:val="00EA7E7F"/>
    <w:rsid w:val="00EB2738"/>
    <w:rsid w:val="00EB3E1A"/>
    <w:rsid w:val="00EB7106"/>
    <w:rsid w:val="00EC165A"/>
    <w:rsid w:val="00EC4E61"/>
    <w:rsid w:val="00EC6BAC"/>
    <w:rsid w:val="00ED2A8F"/>
    <w:rsid w:val="00ED3BF7"/>
    <w:rsid w:val="00ED6941"/>
    <w:rsid w:val="00EE037F"/>
    <w:rsid w:val="00EF0CCC"/>
    <w:rsid w:val="00EF1AAD"/>
    <w:rsid w:val="00F01FE0"/>
    <w:rsid w:val="00F030DB"/>
    <w:rsid w:val="00F077DE"/>
    <w:rsid w:val="00F154F9"/>
    <w:rsid w:val="00F17024"/>
    <w:rsid w:val="00F174F9"/>
    <w:rsid w:val="00F300D7"/>
    <w:rsid w:val="00F309B9"/>
    <w:rsid w:val="00F3789B"/>
    <w:rsid w:val="00F42F8E"/>
    <w:rsid w:val="00F45E39"/>
    <w:rsid w:val="00F63316"/>
    <w:rsid w:val="00F70D37"/>
    <w:rsid w:val="00F7144E"/>
    <w:rsid w:val="00F72963"/>
    <w:rsid w:val="00F853FE"/>
    <w:rsid w:val="00FB35BC"/>
    <w:rsid w:val="00FB5799"/>
    <w:rsid w:val="00FB7135"/>
    <w:rsid w:val="00FC50F2"/>
    <w:rsid w:val="00FC6575"/>
    <w:rsid w:val="00FD0E47"/>
    <w:rsid w:val="00FD1DD8"/>
    <w:rsid w:val="00FD4016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CA6B2E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15DA3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@edinburghcolleg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711AD9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20E9B"/>
    <w:rsid w:val="00F30B72"/>
    <w:rsid w:val="00F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0DC9-4856-43A5-96D1-0CEBF6C3247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64e5800-79ef-404e-ae0f-2769dfe91c1e"/>
    <ds:schemaRef ds:uri="http://purl.org/dc/terms/"/>
    <ds:schemaRef ds:uri="http://schemas.openxmlformats.org/package/2006/metadata/core-properties"/>
    <ds:schemaRef ds:uri="4babdd36-4016-4489-ad5f-14df8cd2a9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B0C93-B9EA-4C50-880A-5626001F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9F33A-19FD-4294-9A29-CF1257A8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creator>Fumie Nakamura</dc:creator>
  <cp:lastModifiedBy>Nina Munday</cp:lastModifiedBy>
  <cp:revision>3</cp:revision>
  <cp:lastPrinted>2015-09-28T10:56:00Z</cp:lastPrinted>
  <dcterms:created xsi:type="dcterms:W3CDTF">2025-03-11T15:29:00Z</dcterms:created>
  <dcterms:modified xsi:type="dcterms:W3CDTF">2025-03-11T16:42:00Z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