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7C2B29AA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670940" w:rsidRDefault="00590127" w:rsidP="00F72963">
      <w:pPr>
        <w:spacing w:after="0"/>
      </w:pPr>
    </w:p>
    <w:p w14:paraId="39CA6B34" w14:textId="0CCEF474" w:rsidR="0044724F" w:rsidRPr="0074577B" w:rsidRDefault="0044724F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 xml:space="preserve">Please refer to the </w:t>
      </w:r>
      <w:r w:rsidR="0061726E" w:rsidRPr="0074577B">
        <w:rPr>
          <w:rFonts w:ascii="Lato" w:hAnsi="Lato"/>
          <w:sz w:val="22"/>
          <w:szCs w:val="22"/>
        </w:rPr>
        <w:t xml:space="preserve">notes and examples in the </w:t>
      </w:r>
      <w:r w:rsidRPr="0074577B">
        <w:rPr>
          <w:rFonts w:ascii="Lato" w:hAnsi="Lato"/>
          <w:sz w:val="22"/>
          <w:szCs w:val="22"/>
        </w:rPr>
        <w:t xml:space="preserve">EIA Guidelines </w:t>
      </w:r>
      <w:r w:rsidR="00236EF7" w:rsidRPr="0074577B">
        <w:rPr>
          <w:rFonts w:ascii="Lato" w:hAnsi="Lato"/>
          <w:sz w:val="22"/>
          <w:szCs w:val="22"/>
        </w:rPr>
        <w:t>to help</w:t>
      </w:r>
      <w:r w:rsidRPr="0074577B">
        <w:rPr>
          <w:rFonts w:ascii="Lato" w:hAnsi="Lato"/>
          <w:sz w:val="22"/>
          <w:szCs w:val="22"/>
        </w:rPr>
        <w:t xml:space="preserve"> complete th</w:t>
      </w:r>
      <w:r w:rsidR="001C5461" w:rsidRPr="0074577B">
        <w:rPr>
          <w:rFonts w:ascii="Lato" w:hAnsi="Lato"/>
          <w:sz w:val="22"/>
          <w:szCs w:val="22"/>
        </w:rPr>
        <w:t xml:space="preserve">is </w:t>
      </w:r>
      <w:r w:rsidR="00345E3E" w:rsidRPr="0074577B">
        <w:rPr>
          <w:rFonts w:ascii="Lato" w:hAnsi="Lato"/>
          <w:sz w:val="22"/>
          <w:szCs w:val="22"/>
        </w:rPr>
        <w:t>record</w:t>
      </w:r>
      <w:r w:rsidR="0089137F" w:rsidRPr="0074577B">
        <w:rPr>
          <w:rFonts w:ascii="Lato" w:hAnsi="Lato"/>
          <w:sz w:val="22"/>
          <w:szCs w:val="22"/>
        </w:rPr>
        <w:t>.</w:t>
      </w:r>
    </w:p>
    <w:p w14:paraId="7A84C6F3" w14:textId="77777777" w:rsidR="0089137F" w:rsidRPr="0074577B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2"/>
        <w:gridCol w:w="1261"/>
        <w:gridCol w:w="1197"/>
        <w:gridCol w:w="2693"/>
        <w:gridCol w:w="3236"/>
        <w:gridCol w:w="1217"/>
        <w:gridCol w:w="1432"/>
      </w:tblGrid>
      <w:tr w:rsidR="003F4CB6" w:rsidRPr="00351CCD" w14:paraId="39CA6B3B" w14:textId="77777777" w:rsidTr="0B0939EC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38" w:type="pct"/>
            <w:gridSpan w:val="2"/>
          </w:tcPr>
          <w:p w14:paraId="39CA6B36" w14:textId="77EE0E72" w:rsidR="00795D1E" w:rsidRPr="0074577B" w:rsidRDefault="003F0AD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Attendance Support Procedure</w:t>
            </w:r>
          </w:p>
        </w:tc>
        <w:tc>
          <w:tcPr>
            <w:tcW w:w="918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103" w:type="pct"/>
            <w:vMerge w:val="restart"/>
          </w:tcPr>
          <w:p w14:paraId="5DCE6C00" w14:textId="77777777" w:rsidR="004D7C92" w:rsidRPr="0074577B" w:rsidRDefault="009C196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Sue Clyne</w:t>
            </w:r>
            <w:r w:rsidR="004D7C92" w:rsidRPr="0074577B">
              <w:rPr>
                <w:rFonts w:ascii="Lato" w:hAnsi="Lato"/>
                <w:sz w:val="22"/>
                <w:szCs w:val="22"/>
              </w:rPr>
              <w:t xml:space="preserve"> (Director of HR &amp; OD)</w:t>
            </w:r>
          </w:p>
          <w:p w14:paraId="39CA6B38" w14:textId="6C159E80" w:rsidR="00795D1E" w:rsidRPr="0074577B" w:rsidRDefault="009C196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Fumie Nakamura</w:t>
            </w:r>
            <w:r w:rsidR="004D7C92" w:rsidRPr="0074577B">
              <w:rPr>
                <w:rFonts w:ascii="Lato" w:hAnsi="Lato"/>
                <w:sz w:val="22"/>
                <w:szCs w:val="22"/>
              </w:rPr>
              <w:t xml:space="preserve"> (Projects and Systems Assistant)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4BAE0BDC" w:rsidR="00795D1E" w:rsidRPr="0074577B" w:rsidRDefault="246D77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B0939EC">
              <w:rPr>
                <w:rFonts w:ascii="Lato" w:hAnsi="Lato"/>
                <w:sz w:val="22"/>
                <w:szCs w:val="22"/>
              </w:rPr>
              <w:t>November</w:t>
            </w:r>
            <w:r w:rsidR="008F2889" w:rsidRPr="0B0939EC">
              <w:rPr>
                <w:rFonts w:ascii="Lato" w:hAnsi="Lato"/>
                <w:sz w:val="22"/>
                <w:szCs w:val="22"/>
              </w:rPr>
              <w:t xml:space="preserve"> 2024</w:t>
            </w:r>
          </w:p>
        </w:tc>
      </w:tr>
      <w:tr w:rsidR="003F4CB6" w:rsidRPr="00351CCD" w14:paraId="39CA6B43" w14:textId="77777777" w:rsidTr="0B0939EC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08" w:type="pct"/>
            <w:vAlign w:val="center"/>
          </w:tcPr>
          <w:p w14:paraId="39CA6B3E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39CA6B3F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03" w:type="pct"/>
            <w:vMerge/>
          </w:tcPr>
          <w:p w14:paraId="39CA6B40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14:paraId="39CA6B42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351CCD" w14:paraId="39CA6B4B" w14:textId="77777777" w:rsidTr="0B0939EC">
        <w:trPr>
          <w:trHeight w:val="276"/>
        </w:trPr>
        <w:tc>
          <w:tcPr>
            <w:tcW w:w="1238" w:type="pct"/>
            <w:vMerge/>
            <w:vAlign w:val="center"/>
          </w:tcPr>
          <w:p w14:paraId="39CA6B44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08" w:type="pct"/>
            <w:vAlign w:val="center"/>
          </w:tcPr>
          <w:p w14:paraId="39CA6B46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39CA6B47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03" w:type="pct"/>
            <w:vMerge/>
          </w:tcPr>
          <w:p w14:paraId="39CA6B48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14:paraId="39CA6B4A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351CCD" w14:paraId="39CA6B53" w14:textId="77777777" w:rsidTr="0B0939EC">
        <w:trPr>
          <w:trHeight w:val="276"/>
        </w:trPr>
        <w:tc>
          <w:tcPr>
            <w:tcW w:w="1238" w:type="pct"/>
            <w:vMerge/>
            <w:vAlign w:val="center"/>
          </w:tcPr>
          <w:p w14:paraId="39CA6B4C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08" w:type="pct"/>
            <w:vAlign w:val="center"/>
          </w:tcPr>
          <w:p w14:paraId="39CA6B4E" w14:textId="1E111BE3" w:rsidR="00795D1E" w:rsidRPr="0074577B" w:rsidRDefault="003F0AD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918" w:type="pct"/>
            <w:vMerge/>
            <w:vAlign w:val="center"/>
          </w:tcPr>
          <w:p w14:paraId="39CA6B4F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03" w:type="pct"/>
            <w:vMerge/>
          </w:tcPr>
          <w:p w14:paraId="39CA6B50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14:paraId="39CA6B52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74577B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74577B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74577B" w:rsidRDefault="00BD1854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0561"/>
      </w:tblGrid>
      <w:tr w:rsidR="00C81A1C" w:rsidRPr="00351CCD" w14:paraId="39CA6B5C" w14:textId="77777777" w:rsidTr="0074577B">
        <w:trPr>
          <w:trHeight w:val="1105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74577B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74577B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74577B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74577B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74577B" w:rsidRDefault="0008211F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</w:t>
            </w:r>
            <w:r w:rsidR="0061726E" w:rsidRPr="0074577B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6B5B" w14:textId="335DD0F7" w:rsidR="00C81A1C" w:rsidRPr="0074577B" w:rsidRDefault="00DD0AA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The aim of updating the existing Edinburgh College Attendance Support Procedure </w:t>
            </w:r>
            <w:r w:rsidR="0087788C" w:rsidRPr="0074577B">
              <w:rPr>
                <w:rFonts w:ascii="Lato" w:hAnsi="Lato"/>
                <w:sz w:val="22"/>
                <w:szCs w:val="22"/>
              </w:rPr>
              <w:t>is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to ensure it complies with current employment legislation, uses up to date terminology and provides a transparent, supportive framework, which supports employees</w:t>
            </w:r>
            <w:r w:rsidR="002509A7" w:rsidRPr="0074577B">
              <w:rPr>
                <w:rFonts w:ascii="Lato" w:hAnsi="Lato"/>
                <w:sz w:val="22"/>
                <w:szCs w:val="22"/>
              </w:rPr>
              <w:t>’ attendance and wellbeing at work.</w:t>
            </w:r>
          </w:p>
        </w:tc>
      </w:tr>
      <w:tr w:rsidR="00C81A1C" w:rsidRPr="00351CCD" w14:paraId="39CA6B60" w14:textId="77777777" w:rsidTr="0074577B">
        <w:trPr>
          <w:trHeight w:val="1105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74577B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74577B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74577B" w:rsidRDefault="00D60C67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56CF3BAA" w:rsidR="00C81A1C" w:rsidRPr="0074577B" w:rsidRDefault="002509A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All employees and managers will benefit from a consistent, supportive approach being taken across the College to managing employee’s attendance at work.</w:t>
            </w:r>
          </w:p>
        </w:tc>
      </w:tr>
      <w:tr w:rsidR="002509A7" w:rsidRPr="00351CCD" w14:paraId="2CF234AF" w14:textId="77777777" w:rsidTr="0074577B">
        <w:trPr>
          <w:trHeight w:val="1105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2509A7" w:rsidRPr="0074577B" w:rsidRDefault="002509A7" w:rsidP="002509A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Who will be consulted?</w:t>
            </w:r>
          </w:p>
          <w:p w14:paraId="28AEDA77" w14:textId="167E6D4E" w:rsidR="002509A7" w:rsidRPr="0074577B" w:rsidRDefault="002509A7" w:rsidP="002509A7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1CB7BE3E" w:rsidR="002509A7" w:rsidRPr="0074577B" w:rsidRDefault="002509A7" w:rsidP="002509A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Both EIS-FELA &amp; Unison were </w:t>
            </w:r>
            <w:r w:rsidR="008F2889">
              <w:rPr>
                <w:rFonts w:ascii="Lato" w:hAnsi="Lato"/>
                <w:sz w:val="22"/>
                <w:szCs w:val="22"/>
              </w:rPr>
              <w:t>consulted on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the Attendance Support Procedure. This is not a new procedure but one which has been embedded and utilised across the College for some time but required recent updating to comply with legislative changes</w:t>
            </w:r>
            <w:r w:rsidR="00DF32DC" w:rsidRPr="0074577B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2611BE07" w14:textId="11B3D3CF" w:rsidR="003E0686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6E62911B" w14:textId="77777777" w:rsidR="008F2889" w:rsidRPr="0074577B" w:rsidRDefault="008F2889" w:rsidP="00F72963">
      <w:pPr>
        <w:spacing w:after="0"/>
        <w:rPr>
          <w:rFonts w:ascii="Lato" w:hAnsi="Lato"/>
          <w:sz w:val="22"/>
          <w:szCs w:val="22"/>
        </w:rPr>
      </w:pPr>
    </w:p>
    <w:p w14:paraId="3AD167B1" w14:textId="28B61566" w:rsidR="003E0686" w:rsidRPr="0074577B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lastRenderedPageBreak/>
        <w:t>Step 2 – Consider the Evidence</w:t>
      </w:r>
    </w:p>
    <w:p w14:paraId="6C5FAFA9" w14:textId="292F75B9" w:rsidR="00955897" w:rsidRPr="0074577B" w:rsidRDefault="00F45E39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74577B">
        <w:rPr>
          <w:rFonts w:ascii="Lato" w:hAnsi="Lato"/>
          <w:bCs/>
          <w:sz w:val="22"/>
          <w:szCs w:val="22"/>
        </w:rPr>
        <w:t>are</w:t>
      </w:r>
      <w:proofErr w:type="gramEnd"/>
      <w:r w:rsidRPr="0074577B">
        <w:rPr>
          <w:rFonts w:ascii="Lato" w:hAnsi="Lato"/>
          <w:bCs/>
          <w:sz w:val="22"/>
          <w:szCs w:val="22"/>
        </w:rPr>
        <w:t xml:space="preserve"> the</w:t>
      </w:r>
      <w:r w:rsidR="00021116" w:rsidRPr="0074577B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74577B">
        <w:rPr>
          <w:rFonts w:ascii="Lato" w:hAnsi="Lato"/>
          <w:sz w:val="22"/>
          <w:szCs w:val="22"/>
        </w:rPr>
        <w:t xml:space="preserve"> </w:t>
      </w:r>
      <w:r w:rsidR="007E21BB" w:rsidRPr="0074577B">
        <w:rPr>
          <w:rFonts w:ascii="Lato" w:hAnsi="Lato"/>
          <w:sz w:val="22"/>
          <w:szCs w:val="22"/>
        </w:rPr>
        <w:t xml:space="preserve">can </w:t>
      </w:r>
      <w:r w:rsidR="006B3A69" w:rsidRPr="0074577B">
        <w:rPr>
          <w:rFonts w:ascii="Lato" w:hAnsi="Lato"/>
          <w:sz w:val="22"/>
          <w:szCs w:val="22"/>
        </w:rPr>
        <w:t>gather</w:t>
      </w:r>
      <w:r w:rsidR="00021116" w:rsidRPr="0074577B">
        <w:rPr>
          <w:rFonts w:ascii="Lato" w:hAnsi="Lato"/>
          <w:sz w:val="22"/>
          <w:szCs w:val="22"/>
        </w:rPr>
        <w:t xml:space="preserve"> them</w:t>
      </w:r>
      <w:r w:rsidR="00551062" w:rsidRPr="0074577B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2938"/>
      </w:tblGrid>
      <w:tr w:rsidR="00323A6A" w:rsidRPr="00351CCD" w14:paraId="39CA6B6A" w14:textId="77777777" w:rsidTr="0B0939EC">
        <w:trPr>
          <w:trHeight w:val="800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74577B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74577B">
              <w:rPr>
                <w:rFonts w:ascii="Lato" w:hAnsi="Lato"/>
                <w:sz w:val="22"/>
                <w:szCs w:val="22"/>
              </w:rPr>
              <w:t>ailable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74577B">
              <w:rPr>
                <w:rFonts w:ascii="Lato" w:hAnsi="Lato"/>
                <w:sz w:val="22"/>
                <w:szCs w:val="22"/>
              </w:rPr>
              <w:t>of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74577B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74577B">
              <w:rPr>
                <w:rFonts w:ascii="Lato" w:hAnsi="Lato"/>
                <w:sz w:val="22"/>
                <w:szCs w:val="22"/>
              </w:rPr>
              <w:t>,</w:t>
            </w:r>
            <w:r w:rsidR="007F24AD" w:rsidRPr="0074577B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74577B">
              <w:rPr>
                <w:rFonts w:ascii="Lato" w:hAnsi="Lato"/>
                <w:sz w:val="22"/>
                <w:szCs w:val="22"/>
              </w:rPr>
              <w:t>,</w:t>
            </w:r>
            <w:r w:rsidR="007F24AD" w:rsidRPr="0074577B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74577B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74577B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74577B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74577B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74577B" w:rsidRDefault="009748F9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1BF" w14:textId="218A565D" w:rsidR="00876F32" w:rsidRPr="000A2732" w:rsidRDefault="008F2889" w:rsidP="00876F32">
            <w:pPr>
              <w:pStyle w:val="TableParagraph"/>
              <w:jc w:val="both"/>
              <w:rPr>
                <w:rFonts w:ascii="Lato" w:hAnsi="Lato"/>
              </w:rPr>
            </w:pPr>
            <w:r w:rsidRPr="0B0939EC">
              <w:rPr>
                <w:rFonts w:ascii="Lato" w:hAnsi="Lato"/>
              </w:rPr>
              <w:t xml:space="preserve">HR </w:t>
            </w:r>
            <w:r w:rsidR="2E4FA9E1" w:rsidRPr="0B0939EC">
              <w:rPr>
                <w:rFonts w:ascii="Lato" w:hAnsi="Lato"/>
              </w:rPr>
              <w:t xml:space="preserve">report in the Quarterly and Annual HR Dashboard for monitoring sickness absences. </w:t>
            </w:r>
            <w:r w:rsidRPr="0B0939EC">
              <w:rPr>
                <w:rFonts w:ascii="Lato" w:hAnsi="Lato"/>
              </w:rPr>
              <w:t xml:space="preserve">HR </w:t>
            </w:r>
            <w:r w:rsidR="2E4FA9E1" w:rsidRPr="0B0939EC">
              <w:rPr>
                <w:rFonts w:ascii="Lato" w:hAnsi="Lato"/>
              </w:rPr>
              <w:t xml:space="preserve">also report Quarterly and Annual Dashboards on the outcomes of </w:t>
            </w:r>
            <w:r w:rsidRPr="0B0939EC">
              <w:rPr>
                <w:rFonts w:ascii="Lato" w:hAnsi="Lato"/>
              </w:rPr>
              <w:t>long</w:t>
            </w:r>
            <w:r w:rsidR="2E4FA9E1" w:rsidRPr="0B0939EC">
              <w:rPr>
                <w:rFonts w:ascii="Lato" w:hAnsi="Lato"/>
              </w:rPr>
              <w:t>/</w:t>
            </w:r>
            <w:r w:rsidRPr="0B0939EC">
              <w:rPr>
                <w:rFonts w:ascii="Lato" w:hAnsi="Lato"/>
              </w:rPr>
              <w:t xml:space="preserve">short </w:t>
            </w:r>
            <w:r w:rsidR="2E4FA9E1" w:rsidRPr="0B0939EC">
              <w:rPr>
                <w:rFonts w:ascii="Lato" w:hAnsi="Lato"/>
              </w:rPr>
              <w:t xml:space="preserve">term absence cases. </w:t>
            </w:r>
            <w:r w:rsidRPr="0B0939EC">
              <w:rPr>
                <w:rFonts w:ascii="Lato" w:hAnsi="Lato"/>
              </w:rPr>
              <w:t xml:space="preserve">HR </w:t>
            </w:r>
            <w:r w:rsidR="2E4FA9E1" w:rsidRPr="0B0939EC">
              <w:rPr>
                <w:rFonts w:ascii="Lato" w:hAnsi="Lato"/>
              </w:rPr>
              <w:t>analyse th</w:t>
            </w:r>
            <w:r w:rsidRPr="0B0939EC">
              <w:rPr>
                <w:rFonts w:ascii="Lato" w:hAnsi="Lato"/>
              </w:rPr>
              <w:t>e</w:t>
            </w:r>
            <w:r w:rsidR="2E4FA9E1" w:rsidRPr="0B0939EC">
              <w:rPr>
                <w:rFonts w:ascii="Lato" w:hAnsi="Lato"/>
              </w:rPr>
              <w:t xml:space="preserve"> data and can identify quarterly or annual variations in the data of those cases and the types of outcomes being </w:t>
            </w:r>
            <w:r w:rsidR="314E2DB4" w:rsidRPr="0B0939EC">
              <w:rPr>
                <w:rFonts w:ascii="Lato" w:hAnsi="Lato"/>
              </w:rPr>
              <w:t xml:space="preserve">reached and </w:t>
            </w:r>
            <w:r w:rsidR="2E4FA9E1" w:rsidRPr="0B0939EC">
              <w:rPr>
                <w:rFonts w:ascii="Lato" w:hAnsi="Lato"/>
              </w:rPr>
              <w:t xml:space="preserve">can analyse 5-year trends etc where there is sufficient data. </w:t>
            </w:r>
          </w:p>
          <w:p w14:paraId="0CC85246" w14:textId="7C08F0B6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</w:p>
          <w:p w14:paraId="20C5515F" w14:textId="74C04659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 xml:space="preserve">Additionally, the number of OH referral cases and the number of access to MCL Medics may help to identify </w:t>
            </w:r>
            <w:r w:rsidR="008F2889" w:rsidRPr="000A2732">
              <w:rPr>
                <w:rFonts w:ascii="Lato" w:hAnsi="Lato"/>
              </w:rPr>
              <w:t>the background to issues and options for resolution</w:t>
            </w:r>
            <w:r w:rsidRPr="000A2732">
              <w:rPr>
                <w:rFonts w:ascii="Lato" w:hAnsi="Lato"/>
              </w:rPr>
              <w:t xml:space="preserve">. </w:t>
            </w:r>
          </w:p>
          <w:p w14:paraId="19BE3F5D" w14:textId="77777777" w:rsidR="00876F32" w:rsidRPr="000A2732" w:rsidRDefault="00876F32" w:rsidP="00876F32">
            <w:pPr>
              <w:pStyle w:val="TableParagraph"/>
              <w:jc w:val="both"/>
              <w:rPr>
                <w:rFonts w:ascii="Lato" w:hAnsi="Lato"/>
              </w:rPr>
            </w:pPr>
          </w:p>
          <w:p w14:paraId="63629C56" w14:textId="310AFC55" w:rsidR="00876F32" w:rsidRPr="000A2732" w:rsidRDefault="00876F32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 xml:space="preserve">HR Partner team regularly review and feedback on </w:t>
            </w:r>
            <w:r w:rsidR="008F2889" w:rsidRPr="000A2732">
              <w:rPr>
                <w:rFonts w:ascii="Lato" w:hAnsi="Lato"/>
              </w:rPr>
              <w:t>long</w:t>
            </w:r>
            <w:r w:rsidR="00911BB5" w:rsidRPr="000A2732">
              <w:rPr>
                <w:rFonts w:ascii="Lato" w:hAnsi="Lato"/>
              </w:rPr>
              <w:t>/</w:t>
            </w:r>
            <w:r w:rsidR="008F2889" w:rsidRPr="000A2732">
              <w:rPr>
                <w:rFonts w:ascii="Lato" w:hAnsi="Lato"/>
              </w:rPr>
              <w:t xml:space="preserve">short </w:t>
            </w:r>
            <w:r w:rsidR="00911BB5" w:rsidRPr="000A2732">
              <w:rPr>
                <w:rFonts w:ascii="Lato" w:hAnsi="Lato"/>
              </w:rPr>
              <w:t xml:space="preserve">term absence cases </w:t>
            </w:r>
            <w:r w:rsidRPr="000A2732">
              <w:rPr>
                <w:rFonts w:ascii="Lato" w:hAnsi="Lato"/>
              </w:rPr>
              <w:t>within their business areas so as to ensure consistency of practice across the College, bearing in mind the individual operational requirements of different departments/teams.</w:t>
            </w:r>
          </w:p>
          <w:p w14:paraId="591468B5" w14:textId="77777777" w:rsidR="00876F32" w:rsidRPr="000A2732" w:rsidRDefault="00876F32" w:rsidP="00876F32">
            <w:pPr>
              <w:pStyle w:val="TableParagraph"/>
              <w:rPr>
                <w:rFonts w:ascii="Lato" w:hAnsi="Lato"/>
              </w:rPr>
            </w:pPr>
          </w:p>
          <w:p w14:paraId="1E5FDF11" w14:textId="3EEEB538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>In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line</w:t>
            </w:r>
            <w:r w:rsidRPr="000A2732">
              <w:rPr>
                <w:rFonts w:ascii="Lato" w:hAnsi="Lato"/>
                <w:spacing w:val="-8"/>
              </w:rPr>
              <w:t xml:space="preserve"> </w:t>
            </w:r>
            <w:r w:rsidRPr="000A2732">
              <w:rPr>
                <w:rFonts w:ascii="Lato" w:hAnsi="Lato"/>
              </w:rPr>
              <w:t>with</w:t>
            </w:r>
            <w:r w:rsidRPr="000A2732">
              <w:rPr>
                <w:rFonts w:ascii="Lato" w:hAnsi="Lato"/>
                <w:spacing w:val="-10"/>
              </w:rPr>
              <w:t xml:space="preserve"> </w:t>
            </w:r>
            <w:r w:rsidRPr="000A2732">
              <w:rPr>
                <w:rFonts w:ascii="Lato" w:hAnsi="Lato"/>
              </w:rPr>
              <w:t>the</w:t>
            </w:r>
            <w:r w:rsidRPr="000A2732">
              <w:rPr>
                <w:rFonts w:ascii="Lato" w:hAnsi="Lato"/>
                <w:spacing w:val="-8"/>
              </w:rPr>
              <w:t xml:space="preserve"> </w:t>
            </w:r>
            <w:r w:rsidRPr="000A2732">
              <w:rPr>
                <w:rFonts w:ascii="Lato" w:hAnsi="Lato"/>
              </w:rPr>
              <w:t>Equality</w:t>
            </w:r>
            <w:r w:rsidRPr="000A2732">
              <w:rPr>
                <w:rFonts w:ascii="Lato" w:hAnsi="Lato"/>
                <w:spacing w:val="-13"/>
              </w:rPr>
              <w:t xml:space="preserve"> </w:t>
            </w:r>
            <w:r w:rsidRPr="000A2732">
              <w:rPr>
                <w:rFonts w:ascii="Lato" w:hAnsi="Lato"/>
              </w:rPr>
              <w:t>Act</w:t>
            </w:r>
            <w:r w:rsidRPr="000A2732">
              <w:rPr>
                <w:rFonts w:ascii="Lato" w:hAnsi="Lato"/>
                <w:spacing w:val="-7"/>
              </w:rPr>
              <w:t xml:space="preserve"> </w:t>
            </w:r>
            <w:r w:rsidRPr="000A2732">
              <w:rPr>
                <w:rFonts w:ascii="Lato" w:hAnsi="Lato"/>
              </w:rPr>
              <w:t>2010,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College</w:t>
            </w:r>
            <w:r w:rsidRPr="000A2732">
              <w:rPr>
                <w:rFonts w:ascii="Lato" w:hAnsi="Lato"/>
                <w:spacing w:val="-8"/>
              </w:rPr>
              <w:t xml:space="preserve"> </w:t>
            </w:r>
            <w:r w:rsidRPr="000A2732">
              <w:rPr>
                <w:rFonts w:ascii="Lato" w:hAnsi="Lato"/>
              </w:rPr>
              <w:t>consider</w:t>
            </w:r>
            <w:r w:rsidR="009F6A82" w:rsidRPr="000A2732">
              <w:rPr>
                <w:rFonts w:ascii="Lato" w:hAnsi="Lato"/>
              </w:rPr>
              <w:t>s</w:t>
            </w:r>
            <w:r w:rsidRPr="000A2732">
              <w:rPr>
                <w:rFonts w:ascii="Lato" w:hAnsi="Lato"/>
                <w:spacing w:val="-10"/>
              </w:rPr>
              <w:t xml:space="preserve"> </w:t>
            </w:r>
            <w:r w:rsidRPr="000A2732">
              <w:rPr>
                <w:rFonts w:ascii="Lato" w:hAnsi="Lato"/>
              </w:rPr>
              <w:t>requests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for</w:t>
            </w:r>
            <w:r w:rsidRPr="000A2732">
              <w:rPr>
                <w:rFonts w:ascii="Lato" w:hAnsi="Lato"/>
                <w:spacing w:val="-11"/>
              </w:rPr>
              <w:t xml:space="preserve"> </w:t>
            </w:r>
            <w:r w:rsidRPr="000A2732">
              <w:rPr>
                <w:rFonts w:ascii="Lato" w:hAnsi="Lato"/>
              </w:rPr>
              <w:t>and,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 xml:space="preserve">in </w:t>
            </w:r>
            <w:r w:rsidRPr="000A2732">
              <w:rPr>
                <w:rFonts w:ascii="Lato" w:hAnsi="Lato"/>
                <w:w w:val="95"/>
              </w:rPr>
              <w:t xml:space="preserve">appropriate circumstances suggest, reasonable adjustments to an employee’s (or </w:t>
            </w:r>
            <w:r w:rsidRPr="000A2732">
              <w:rPr>
                <w:rFonts w:ascii="Lato" w:hAnsi="Lato"/>
              </w:rPr>
              <w:t>potential employee i.e. successful job applicant) role or working environment where</w:t>
            </w:r>
            <w:r w:rsidRPr="000A2732">
              <w:rPr>
                <w:rFonts w:ascii="Lato" w:hAnsi="Lato"/>
                <w:spacing w:val="-15"/>
              </w:rPr>
              <w:t xml:space="preserve"> </w:t>
            </w:r>
            <w:r w:rsidRPr="000A2732">
              <w:rPr>
                <w:rFonts w:ascii="Lato" w:hAnsi="Lato"/>
              </w:rPr>
              <w:t>the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individual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has</w:t>
            </w:r>
            <w:r w:rsidRPr="000A2732">
              <w:rPr>
                <w:rFonts w:ascii="Lato" w:hAnsi="Lato"/>
                <w:spacing w:val="-11"/>
              </w:rPr>
              <w:t xml:space="preserve"> </w:t>
            </w:r>
            <w:r w:rsidRPr="000A2732">
              <w:rPr>
                <w:rFonts w:ascii="Lato" w:hAnsi="Lato"/>
              </w:rPr>
              <w:t>a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recognised</w:t>
            </w:r>
            <w:r w:rsidRPr="000A2732">
              <w:rPr>
                <w:rFonts w:ascii="Lato" w:hAnsi="Lato"/>
                <w:spacing w:val="-11"/>
              </w:rPr>
              <w:t xml:space="preserve"> </w:t>
            </w:r>
            <w:r w:rsidRPr="000A2732">
              <w:rPr>
                <w:rFonts w:ascii="Lato" w:hAnsi="Lato"/>
              </w:rPr>
              <w:t>disability</w:t>
            </w:r>
            <w:r w:rsidR="009F6A82" w:rsidRPr="000A2732">
              <w:rPr>
                <w:rFonts w:ascii="Lato" w:hAnsi="Lato"/>
              </w:rPr>
              <w:t xml:space="preserve"> so going forward, monitoring the number of those reasonable adjustments could help to improve employee’s attendance at work.</w:t>
            </w:r>
          </w:p>
          <w:p w14:paraId="122D0D03" w14:textId="77777777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</w:p>
          <w:p w14:paraId="7F01BCF2" w14:textId="07A7E744" w:rsidR="00876F32" w:rsidRPr="000A2732" w:rsidRDefault="00876F32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 xml:space="preserve">Ongoing review and discussion with both EIS-FELA and Unison on the implementation of the updated procedure may provide evidence going forward, where feedback has been received on the management of </w:t>
            </w:r>
            <w:r w:rsidR="00911BB5" w:rsidRPr="000A2732">
              <w:rPr>
                <w:rFonts w:ascii="Lato" w:hAnsi="Lato"/>
              </w:rPr>
              <w:t xml:space="preserve">Attendance Support </w:t>
            </w:r>
            <w:r w:rsidR="0064470F" w:rsidRPr="000A2732">
              <w:rPr>
                <w:rFonts w:ascii="Lato" w:hAnsi="Lato"/>
              </w:rPr>
              <w:t>Procedure</w:t>
            </w:r>
            <w:r w:rsidRPr="000A2732">
              <w:rPr>
                <w:rFonts w:ascii="Lato" w:hAnsi="Lato"/>
              </w:rPr>
              <w:t>.</w:t>
            </w:r>
          </w:p>
          <w:p w14:paraId="00BA7DEA" w14:textId="77777777" w:rsidR="00876F32" w:rsidRPr="000A2732" w:rsidRDefault="00876F32" w:rsidP="00876F32">
            <w:pPr>
              <w:pStyle w:val="TableParagraph"/>
              <w:rPr>
                <w:rFonts w:ascii="Lato" w:hAnsi="Lato"/>
              </w:rPr>
            </w:pPr>
          </w:p>
          <w:p w14:paraId="39CA6B69" w14:textId="33F30261" w:rsidR="00B94D76" w:rsidRPr="0074577B" w:rsidRDefault="00876F32" w:rsidP="00876F32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A2732">
              <w:rPr>
                <w:rFonts w:ascii="Lato" w:hAnsi="Lato"/>
                <w:sz w:val="22"/>
                <w:szCs w:val="22"/>
              </w:rPr>
              <w:t>Ensure updated procedure is available on the intranet and circulated to all employees</w:t>
            </w:r>
            <w:r w:rsidR="0064470F" w:rsidRPr="000A2732">
              <w:rPr>
                <w:rFonts w:ascii="Lato" w:hAnsi="Lato"/>
                <w:sz w:val="22"/>
                <w:szCs w:val="22"/>
              </w:rPr>
              <w:t xml:space="preserve"> and managers</w:t>
            </w:r>
            <w:r w:rsidRPr="000A2732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6B803CFE" w14:textId="77777777" w:rsidR="003E0686" w:rsidRPr="0074577B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74577B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74577B">
        <w:rPr>
          <w:rFonts w:ascii="Lato" w:hAnsi="Lato"/>
          <w:b/>
          <w:color w:val="221E1F"/>
          <w:sz w:val="22"/>
          <w:szCs w:val="22"/>
        </w:rPr>
        <w:lastRenderedPageBreak/>
        <w:t xml:space="preserve">Step </w:t>
      </w:r>
      <w:r w:rsidR="003E0686" w:rsidRPr="0074577B">
        <w:rPr>
          <w:rFonts w:ascii="Lato" w:hAnsi="Lato"/>
          <w:b/>
          <w:color w:val="221E1F"/>
          <w:sz w:val="22"/>
          <w:szCs w:val="22"/>
        </w:rPr>
        <w:t>3</w:t>
      </w:r>
      <w:r w:rsidRPr="0074577B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74577B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74577B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74577B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74577B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74577B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B0939EC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B0939EC">
        <w:rPr>
          <w:rFonts w:ascii="Lato" w:hAnsi="Lato"/>
          <w:color w:val="221E1F"/>
          <w:sz w:val="22"/>
          <w:szCs w:val="22"/>
        </w:rPr>
        <w:t>.</w:t>
      </w:r>
    </w:p>
    <w:p w14:paraId="39CA6B73" w14:textId="21B3DCD8" w:rsidR="009D7A0F" w:rsidRPr="0074577B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74577B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74577B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74577B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74577B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6340"/>
        <w:gridCol w:w="4506"/>
      </w:tblGrid>
      <w:tr w:rsidR="00792882" w:rsidRPr="00351CCD" w14:paraId="39CA6B7C" w14:textId="77777777" w:rsidTr="00DB7C35">
        <w:trPr>
          <w:trHeight w:val="1318"/>
        </w:trPr>
        <w:tc>
          <w:tcPr>
            <w:tcW w:w="1303" w:type="pct"/>
            <w:shd w:val="clear" w:color="auto" w:fill="FBD4B4" w:themeFill="accent6" w:themeFillTint="66"/>
          </w:tcPr>
          <w:p w14:paraId="39CA6B74" w14:textId="3D0FBBDE" w:rsidR="00792882" w:rsidRPr="0074577B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Eliminating discrimination, harassment</w:t>
            </w:r>
            <w:r w:rsidR="006E0572" w:rsidRPr="0074577B">
              <w:rPr>
                <w:rFonts w:ascii="Lato" w:hAnsi="Lato"/>
                <w:b/>
                <w:sz w:val="22"/>
                <w:szCs w:val="22"/>
              </w:rPr>
              <w:t>,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14:paraId="39CA6B75" w14:textId="77777777" w:rsidR="00792882" w:rsidRPr="0074577B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74577B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74577B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74577B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74577B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74577B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74577B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3E0686" w:rsidRPr="00351CCD" w14:paraId="6CD8DFFD" w14:textId="77777777" w:rsidTr="00DB7C35">
        <w:trPr>
          <w:trHeight w:val="1318"/>
        </w:trPr>
        <w:tc>
          <w:tcPr>
            <w:tcW w:w="1303" w:type="pct"/>
            <w:shd w:val="clear" w:color="auto" w:fill="auto"/>
          </w:tcPr>
          <w:p w14:paraId="379EE69F" w14:textId="77777777" w:rsidR="003E0686" w:rsidRPr="0074577B" w:rsidRDefault="00310F4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Provides a consistent, supportive and transparent framework to support ALL employees when they have a</w:t>
            </w:r>
            <w:r w:rsidR="007B7784" w:rsidRPr="0074577B">
              <w:rPr>
                <w:rFonts w:ascii="Lato" w:hAnsi="Lato"/>
                <w:sz w:val="22"/>
                <w:szCs w:val="22"/>
              </w:rPr>
              <w:t xml:space="preserve">n attendance </w:t>
            </w:r>
            <w:r w:rsidRPr="0074577B">
              <w:rPr>
                <w:rFonts w:ascii="Lato" w:hAnsi="Lato"/>
                <w:sz w:val="22"/>
                <w:szCs w:val="22"/>
              </w:rPr>
              <w:t>issue.</w:t>
            </w:r>
          </w:p>
          <w:p w14:paraId="7D6AC37C" w14:textId="77777777" w:rsidR="008A6E3F" w:rsidRPr="0074577B" w:rsidRDefault="008A6E3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6E8A0DD" w14:textId="61B71AC3" w:rsidR="008A6E3F" w:rsidRPr="0074577B" w:rsidRDefault="008F288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 d</w:t>
            </w:r>
            <w:r w:rsidR="008A6E3F" w:rsidRPr="0074577B">
              <w:rPr>
                <w:rFonts w:ascii="Lato" w:hAnsi="Lato"/>
                <w:sz w:val="22"/>
                <w:szCs w:val="22"/>
              </w:rPr>
              <w:t xml:space="preserve">etailed </w:t>
            </w:r>
            <w:r>
              <w:rPr>
                <w:rFonts w:ascii="Lato" w:hAnsi="Lato"/>
                <w:sz w:val="22"/>
                <w:szCs w:val="22"/>
              </w:rPr>
              <w:t>p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rocess </w:t>
            </w:r>
            <w:r w:rsidR="008A6E3F" w:rsidRPr="0074577B">
              <w:rPr>
                <w:rFonts w:ascii="Lato" w:hAnsi="Lato"/>
                <w:sz w:val="22"/>
                <w:szCs w:val="22"/>
              </w:rPr>
              <w:t xml:space="preserve">map for each absence category is provided to managers in </w:t>
            </w:r>
            <w:r>
              <w:rPr>
                <w:rFonts w:ascii="Lato" w:hAnsi="Lato"/>
                <w:sz w:val="22"/>
                <w:szCs w:val="22"/>
              </w:rPr>
              <w:t xml:space="preserve">the </w:t>
            </w:r>
            <w:r w:rsidR="008A6E3F" w:rsidRPr="0074577B">
              <w:rPr>
                <w:rFonts w:ascii="Lato" w:hAnsi="Lato"/>
                <w:sz w:val="22"/>
                <w:szCs w:val="22"/>
              </w:rPr>
              <w:t xml:space="preserve">Manager Portal. </w:t>
            </w:r>
          </w:p>
          <w:p w14:paraId="552FB9C4" w14:textId="77777777" w:rsidR="00944E38" w:rsidRPr="0074577B" w:rsidRDefault="00944E3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79B23D" w14:textId="488AA62C" w:rsidR="00944E38" w:rsidRPr="0074577B" w:rsidRDefault="00944E3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Additionally, </w:t>
            </w:r>
            <w:r w:rsidR="008F2889">
              <w:rPr>
                <w:rFonts w:ascii="Lato" w:hAnsi="Lato"/>
                <w:sz w:val="22"/>
                <w:szCs w:val="22"/>
              </w:rPr>
              <w:t xml:space="preserve">the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Family-Friendly </w:t>
            </w:r>
            <w:r w:rsidR="008F2889">
              <w:rPr>
                <w:rFonts w:ascii="Lato" w:hAnsi="Lato"/>
                <w:sz w:val="22"/>
                <w:szCs w:val="22"/>
              </w:rPr>
              <w:t>P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olicy and Procedure, </w:t>
            </w:r>
            <w:r w:rsidR="008F2889">
              <w:rPr>
                <w:rFonts w:ascii="Lato" w:hAnsi="Lato"/>
                <w:sz w:val="22"/>
                <w:szCs w:val="22"/>
              </w:rPr>
              <w:t xml:space="preserve">the </w:t>
            </w:r>
            <w:r w:rsidRPr="0074577B">
              <w:rPr>
                <w:rFonts w:ascii="Lato" w:hAnsi="Lato"/>
                <w:sz w:val="22"/>
                <w:szCs w:val="22"/>
              </w:rPr>
              <w:t>Flexible Working Policy and Procedure</w:t>
            </w:r>
            <w:r w:rsidR="00E91C65" w:rsidRPr="0074577B">
              <w:rPr>
                <w:rFonts w:ascii="Lato" w:hAnsi="Lato"/>
                <w:sz w:val="22"/>
                <w:szCs w:val="22"/>
              </w:rPr>
              <w:t xml:space="preserve">, </w:t>
            </w:r>
            <w:r w:rsidR="00411884" w:rsidRPr="0074577B">
              <w:rPr>
                <w:rFonts w:ascii="Lato" w:hAnsi="Lato"/>
                <w:sz w:val="22"/>
                <w:szCs w:val="22"/>
              </w:rPr>
              <w:t xml:space="preserve">and </w:t>
            </w:r>
            <w:r w:rsidR="00E91C65" w:rsidRPr="0074577B">
              <w:rPr>
                <w:rFonts w:ascii="Lato" w:hAnsi="Lato"/>
                <w:sz w:val="22"/>
                <w:szCs w:val="22"/>
              </w:rPr>
              <w:t>Occupational Health Referral Guidance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are in place.</w:t>
            </w:r>
          </w:p>
        </w:tc>
        <w:tc>
          <w:tcPr>
            <w:tcW w:w="2161" w:type="pct"/>
            <w:shd w:val="clear" w:color="auto" w:fill="auto"/>
          </w:tcPr>
          <w:p w14:paraId="5A8A6635" w14:textId="4768A79F" w:rsidR="002512D0" w:rsidRPr="0074577B" w:rsidRDefault="002512D0" w:rsidP="002512D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This Procedure means that whenever an employee has an attendance issue they are supported in the same way within the framework provided.</w:t>
            </w:r>
          </w:p>
          <w:p w14:paraId="3243B865" w14:textId="6B05D248" w:rsidR="002512D0" w:rsidRPr="0074577B" w:rsidRDefault="002512D0" w:rsidP="002512D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960FAF5" w14:textId="597CE378" w:rsidR="002512D0" w:rsidRPr="0074577B" w:rsidRDefault="002512D0" w:rsidP="002512D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Additionally, this Procedure ensures that reasonable </w:t>
            </w:r>
            <w:r w:rsidR="009C196E" w:rsidRPr="0074577B">
              <w:rPr>
                <w:rFonts w:ascii="Lato" w:hAnsi="Lato"/>
                <w:sz w:val="22"/>
                <w:szCs w:val="22"/>
              </w:rPr>
              <w:t xml:space="preserve">adjustments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are undertaken to enable an employee who has </w:t>
            </w:r>
            <w:r w:rsidR="00E26F79" w:rsidRPr="0074577B">
              <w:rPr>
                <w:rFonts w:ascii="Lato" w:hAnsi="Lato"/>
                <w:sz w:val="22"/>
                <w:szCs w:val="22"/>
              </w:rPr>
              <w:t xml:space="preserve">a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recognised </w:t>
            </w:r>
            <w:r w:rsidR="00E26F79" w:rsidRPr="0074577B">
              <w:rPr>
                <w:rFonts w:ascii="Lato" w:hAnsi="Lato"/>
                <w:sz w:val="22"/>
                <w:szCs w:val="22"/>
              </w:rPr>
              <w:t xml:space="preserve">disability </w:t>
            </w:r>
            <w:r w:rsidRPr="0074577B">
              <w:rPr>
                <w:rFonts w:ascii="Lato" w:hAnsi="Lato"/>
                <w:sz w:val="22"/>
                <w:szCs w:val="22"/>
              </w:rPr>
              <w:t>to remain at work or return to work from sickness absence. This also applies to job applicants for them to undertake the role offered.</w:t>
            </w:r>
          </w:p>
          <w:p w14:paraId="0CB7956C" w14:textId="77777777" w:rsidR="003E0686" w:rsidRPr="0074577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</w:tcPr>
          <w:p w14:paraId="2AFBF96A" w14:textId="1BF2A177" w:rsidR="00E26F79" w:rsidRPr="0074577B" w:rsidRDefault="00E26F79" w:rsidP="00F735E2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This Procedure is well publicised to all employees and outlines the process available to support employees who have an attendance issue.</w:t>
            </w:r>
          </w:p>
          <w:p w14:paraId="1F9C1361" w14:textId="77777777" w:rsidR="00E26F79" w:rsidRPr="0074577B" w:rsidRDefault="00E26F79" w:rsidP="00F735E2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79E1214" w14:textId="59F1A849" w:rsidR="00DB19B6" w:rsidRPr="0074577B" w:rsidRDefault="00E26F79" w:rsidP="00F735E2">
            <w:pPr>
              <w:widowControl w:val="0"/>
              <w:tabs>
                <w:tab w:val="left" w:pos="2042"/>
              </w:tabs>
              <w:autoSpaceDE w:val="0"/>
              <w:autoSpaceDN w:val="0"/>
              <w:spacing w:before="1"/>
              <w:ind w:right="246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The detailed key definitions and clear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procedures for each absence category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help to understand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the processes for </w:t>
            </w:r>
            <w:r w:rsidRPr="0074577B">
              <w:rPr>
                <w:rFonts w:ascii="Lato" w:hAnsi="Lato"/>
                <w:sz w:val="22"/>
                <w:szCs w:val="22"/>
              </w:rPr>
              <w:t>all employees and managers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. Furthermore, </w:t>
            </w:r>
            <w:r w:rsidR="00DB19B6" w:rsidRPr="0074577B">
              <w:rPr>
                <w:rFonts w:ascii="Lato" w:hAnsi="Lato"/>
                <w:sz w:val="22"/>
                <w:szCs w:val="22"/>
              </w:rPr>
              <w:t>the College provides managers regular training and guidance to support the application of this procedure and to motivate employees to achieve high levels of attendance.</w:t>
            </w:r>
          </w:p>
          <w:p w14:paraId="20673452" w14:textId="77777777" w:rsidR="00DB19B6" w:rsidRPr="0074577B" w:rsidRDefault="00DB19B6" w:rsidP="00DB19B6">
            <w:pPr>
              <w:widowControl w:val="0"/>
              <w:tabs>
                <w:tab w:val="left" w:pos="2042"/>
              </w:tabs>
              <w:autoSpaceDE w:val="0"/>
              <w:autoSpaceDN w:val="0"/>
              <w:spacing w:before="1"/>
              <w:ind w:right="246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9EBF9BE" w14:textId="548CF3BA" w:rsidR="003E0686" w:rsidRPr="0074577B" w:rsidRDefault="00DB19B6" w:rsidP="00E26F7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The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 informal </w:t>
            </w:r>
            <w:r w:rsidR="00133C48" w:rsidRPr="0074577B">
              <w:rPr>
                <w:rFonts w:ascii="Lato" w:hAnsi="Lato"/>
                <w:sz w:val="22"/>
                <w:szCs w:val="22"/>
              </w:rPr>
              <w:t xml:space="preserve">resolution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approach </w:t>
            </w:r>
            <w:r w:rsidR="00E26F79" w:rsidRPr="0074577B">
              <w:rPr>
                <w:rFonts w:ascii="Lato" w:hAnsi="Lato"/>
                <w:sz w:val="22"/>
                <w:szCs w:val="22"/>
              </w:rPr>
              <w:t>removes the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 potential</w:t>
            </w:r>
            <w:r w:rsidR="00954388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attendance </w:t>
            </w:r>
            <w:r w:rsidR="00E26F79" w:rsidRPr="0074577B">
              <w:rPr>
                <w:rFonts w:ascii="Lato" w:hAnsi="Lato"/>
                <w:sz w:val="22"/>
                <w:szCs w:val="22"/>
              </w:rPr>
              <w:t xml:space="preserve">issues having to be addressed / supported using a formal procedure which has been designed to deal with different issues. This is much more </w:t>
            </w:r>
            <w:r w:rsidR="00E26F79" w:rsidRPr="0074577B">
              <w:rPr>
                <w:rFonts w:ascii="Lato" w:hAnsi="Lato"/>
                <w:sz w:val="22"/>
                <w:szCs w:val="22"/>
              </w:rPr>
              <w:lastRenderedPageBreak/>
              <w:t>supportive for the employee and clearer, more transparent for both the manager and employee to work through/follow. This should enable a more consistent approach being taken across the College.</w:t>
            </w:r>
          </w:p>
        </w:tc>
      </w:tr>
    </w:tbl>
    <w:p w14:paraId="39CA6B7D" w14:textId="7600E84C" w:rsidR="009D7A0F" w:rsidRPr="0074577B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16"/>
          <w:szCs w:val="16"/>
        </w:rPr>
      </w:pPr>
      <w:r w:rsidRPr="0074577B">
        <w:rPr>
          <w:rFonts w:ascii="Lato" w:hAnsi="Lato"/>
          <w:sz w:val="16"/>
          <w:szCs w:val="16"/>
        </w:rPr>
        <w:lastRenderedPageBreak/>
        <w:t>See Note 5</w:t>
      </w:r>
      <w:r w:rsidRPr="0074577B">
        <w:rPr>
          <w:rFonts w:ascii="Lato" w:hAnsi="Lato"/>
          <w:color w:val="221E1F"/>
          <w:sz w:val="16"/>
          <w:szCs w:val="16"/>
        </w:rPr>
        <w:tab/>
      </w:r>
    </w:p>
    <w:p w14:paraId="7A7BA343" w14:textId="77777777" w:rsidR="006B3A69" w:rsidRPr="0074577B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74577B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74577B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74577B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74577B">
        <w:rPr>
          <w:rFonts w:ascii="Lato" w:hAnsi="Lato" w:cs="Arial"/>
          <w:sz w:val="22"/>
          <w:szCs w:val="22"/>
        </w:rPr>
        <w:t>.</w:t>
      </w:r>
      <w:r w:rsidRPr="0074577B">
        <w:rPr>
          <w:rFonts w:ascii="Lato" w:hAnsi="Lato" w:cs="Arial"/>
          <w:sz w:val="22"/>
          <w:szCs w:val="22"/>
        </w:rPr>
        <w:t>g</w:t>
      </w:r>
      <w:r w:rsidR="00AC2C10" w:rsidRPr="0074577B">
        <w:rPr>
          <w:rFonts w:ascii="Lato" w:hAnsi="Lato" w:cs="Arial"/>
          <w:sz w:val="22"/>
          <w:szCs w:val="22"/>
        </w:rPr>
        <w:t>.</w:t>
      </w:r>
      <w:r w:rsidRPr="0074577B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74577B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74577B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74577B" w:rsidRDefault="00ED6941" w:rsidP="00F72963">
      <w:pPr>
        <w:spacing w:after="0"/>
        <w:rPr>
          <w:rFonts w:ascii="Lato" w:hAnsi="Lato"/>
          <w:color w:val="221E1F"/>
          <w:sz w:val="16"/>
          <w:szCs w:val="16"/>
        </w:rPr>
      </w:pPr>
      <w:r w:rsidRPr="0074577B">
        <w:rPr>
          <w:rFonts w:ascii="Lato" w:hAnsi="Lato"/>
          <w:color w:val="221E1F"/>
          <w:sz w:val="16"/>
          <w:szCs w:val="16"/>
        </w:rPr>
        <w:t>See Note 6</w:t>
      </w:r>
      <w:r w:rsidR="00E9760D" w:rsidRPr="0074577B">
        <w:rPr>
          <w:rFonts w:ascii="Lato" w:hAnsi="Lato"/>
          <w:color w:val="221E1F"/>
          <w:sz w:val="16"/>
          <w:szCs w:val="1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1084"/>
        <w:gridCol w:w="6259"/>
        <w:gridCol w:w="1086"/>
        <w:gridCol w:w="4681"/>
      </w:tblGrid>
      <w:tr w:rsidR="0070228B" w:rsidRPr="00351CCD" w14:paraId="39CA6B8D" w14:textId="77777777" w:rsidTr="1A0D4AB2">
        <w:trPr>
          <w:trHeight w:val="81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74577B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74577B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74577B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74577B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74577B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2174" w:type="pct"/>
            <w:shd w:val="clear" w:color="auto" w:fill="FDE9D9" w:themeFill="accent6" w:themeFillTint="33"/>
            <w:vAlign w:val="center"/>
          </w:tcPr>
          <w:p w14:paraId="39CA6B8A" w14:textId="77777777" w:rsidR="006F48B0" w:rsidRPr="0074577B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Deta</w:t>
            </w:r>
            <w:r w:rsidR="00202247" w:rsidRPr="0074577B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370" w:type="pct"/>
            <w:shd w:val="clear" w:color="auto" w:fill="FDE9D9" w:themeFill="accent6" w:themeFillTint="33"/>
            <w:vAlign w:val="center"/>
          </w:tcPr>
          <w:p w14:paraId="39CA6B8B" w14:textId="77777777" w:rsidR="006F48B0" w:rsidRPr="0074577B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74577B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74577B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1636" w:type="pct"/>
            <w:shd w:val="clear" w:color="auto" w:fill="FDE9D9" w:themeFill="accent6" w:themeFillTint="33"/>
            <w:vAlign w:val="center"/>
          </w:tcPr>
          <w:p w14:paraId="39CA6B8C" w14:textId="77777777" w:rsidR="006F48B0" w:rsidRPr="0074577B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74577B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DB19B6" w:rsidRPr="00351CCD" w14:paraId="39CA6B93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DB19B6" w:rsidRPr="0074577B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1A814CE1" w:rsidR="00DB19B6" w:rsidRPr="0074577B" w:rsidRDefault="00DB19B6" w:rsidP="00DB19B6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08A2E609" w14:textId="7EA805DD" w:rsidR="00D42C7B" w:rsidRPr="005F1255" w:rsidRDefault="000B4262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The</w:t>
            </w:r>
            <w:r w:rsidRPr="005F1255">
              <w:rPr>
                <w:rFonts w:ascii="Lato" w:hAnsi="Lato"/>
                <w:spacing w:val="-18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College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will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provide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managers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with</w:t>
            </w:r>
            <w:r w:rsidRPr="005F1255">
              <w:rPr>
                <w:rFonts w:ascii="Lato" w:hAnsi="Lato"/>
                <w:spacing w:val="-18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regular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training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and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guidance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to</w:t>
            </w:r>
            <w:r w:rsidRPr="005F1255">
              <w:rPr>
                <w:rFonts w:ascii="Lato" w:hAnsi="Lato"/>
                <w:spacing w:val="-18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support the application of this procedure and to motivate employees to achieve high levels of attendance</w:t>
            </w:r>
          </w:p>
          <w:p w14:paraId="131477C0" w14:textId="1342AEFC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03FAFCD" w14:textId="3E33CDA3" w:rsidR="00D42C7B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 n</w:t>
            </w:r>
            <w:r w:rsidR="00D42C7B" w:rsidRPr="005F1255">
              <w:rPr>
                <w:rFonts w:ascii="Lato" w:hAnsi="Lato"/>
                <w:sz w:val="22"/>
                <w:szCs w:val="22"/>
              </w:rPr>
              <w:t>ational Menopause Policy and Manager Guidance is in place.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 Additionally, the College provide</w:t>
            </w:r>
            <w:r w:rsidRPr="005F1255">
              <w:rPr>
                <w:rFonts w:ascii="Lato" w:hAnsi="Lato"/>
                <w:sz w:val="22"/>
                <w:szCs w:val="22"/>
              </w:rPr>
              <w:t>s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 ‘Menopause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Awareness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and Attendance Support 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training to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all </w:t>
            </w:r>
            <w:r w:rsidR="000B4262" w:rsidRPr="005F1255">
              <w:rPr>
                <w:rFonts w:ascii="Lato" w:hAnsi="Lato"/>
                <w:sz w:val="22"/>
                <w:szCs w:val="22"/>
              </w:rPr>
              <w:t>managers.</w:t>
            </w:r>
          </w:p>
          <w:p w14:paraId="72FBA5DB" w14:textId="77777777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2D3093D" w14:textId="130AC1F5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 use of clear trigger levels in managing absence negates the risks of menopausal women and older employees being subject to formal procedures.  </w:t>
            </w:r>
          </w:p>
          <w:p w14:paraId="2B22ACCA" w14:textId="77777777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8726F34" w14:textId="042BC368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Absence directly</w:t>
            </w:r>
            <w:r w:rsidR="008C0D86" w:rsidRPr="005F1255">
              <w:rPr>
                <w:rFonts w:ascii="Lato" w:hAnsi="Lato"/>
                <w:sz w:val="22"/>
                <w:szCs w:val="22"/>
              </w:rPr>
              <w:t xml:space="preserve"> related to pregnancy</w:t>
            </w:r>
            <w:r w:rsidR="001C771A" w:rsidRPr="005F1255">
              <w:rPr>
                <w:rFonts w:ascii="Lato" w:hAnsi="Lato"/>
                <w:sz w:val="22"/>
                <w:szCs w:val="22"/>
              </w:rPr>
              <w:t>, maternity</w:t>
            </w:r>
            <w:r w:rsidR="008C0D86" w:rsidRPr="005F1255">
              <w:rPr>
                <w:rFonts w:ascii="Lato" w:hAnsi="Lato"/>
                <w:sz w:val="22"/>
                <w:szCs w:val="22"/>
              </w:rPr>
              <w:t xml:space="preserve"> or disability is not counted towards trigger levels.</w:t>
            </w:r>
          </w:p>
          <w:p w14:paraId="39CA6B90" w14:textId="7375C8BD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39CA6B91" w14:textId="6A8031A8" w:rsidR="00DB19B6" w:rsidRPr="0074577B" w:rsidRDefault="00DB19B6" w:rsidP="00DB19B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1541A45F" w14:textId="306F1CDB" w:rsidR="00DB19B6" w:rsidRPr="005F1255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There is a misconception that older workers are likely to be less healthy than their younger colleagues. This may lead to more older employees potentially being put through </w:t>
            </w:r>
            <w:r w:rsidR="00144440" w:rsidRPr="005F1255">
              <w:rPr>
                <w:rFonts w:ascii="Lato" w:hAnsi="Lato"/>
                <w:sz w:val="22"/>
                <w:szCs w:val="22"/>
              </w:rPr>
              <w:t>formal processes.</w:t>
            </w:r>
          </w:p>
          <w:p w14:paraId="7988AABF" w14:textId="77777777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2" w14:textId="31B2B90E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Menopause is not recognised as disability under current legislation so women </w:t>
            </w:r>
            <w:r w:rsidR="008B783F" w:rsidRPr="005F1255">
              <w:rPr>
                <w:rFonts w:ascii="Lato" w:hAnsi="Lato"/>
                <w:sz w:val="22"/>
                <w:szCs w:val="22"/>
              </w:rPr>
              <w:t xml:space="preserve">of menopause age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may </w:t>
            </w:r>
            <w:r w:rsidR="008B783F" w:rsidRPr="005F1255">
              <w:rPr>
                <w:rFonts w:ascii="Lato" w:hAnsi="Lato"/>
                <w:sz w:val="22"/>
                <w:szCs w:val="22"/>
              </w:rPr>
              <w:t xml:space="preserve">be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put through formal processes more. </w:t>
            </w:r>
          </w:p>
        </w:tc>
      </w:tr>
      <w:tr w:rsidR="00DB19B6" w:rsidRPr="00351CCD" w14:paraId="39CA6B99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DB19B6" w:rsidRPr="0074577B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5A7CB7BC" w:rsidR="00DB19B6" w:rsidRPr="0074577B" w:rsidRDefault="00DB19B6" w:rsidP="00DB19B6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B9D9E05" w14:textId="77777777" w:rsidR="001C771A" w:rsidRPr="005F1255" w:rsidRDefault="001C771A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 </w:t>
            </w:r>
            <w:r w:rsidR="00DB19B6" w:rsidRPr="005F1255">
              <w:rPr>
                <w:rFonts w:ascii="Lato" w:hAnsi="Lato"/>
                <w:sz w:val="22"/>
                <w:szCs w:val="22"/>
              </w:rPr>
              <w:t>Procedure ensures that any reasonable adjustments required by employees who have a recognised disability must be considered and be undertaken to enable to remain at work.</w:t>
            </w:r>
          </w:p>
          <w:p w14:paraId="7C4178DF" w14:textId="77777777" w:rsidR="001C771A" w:rsidRPr="005F1255" w:rsidRDefault="001C771A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12E45A6E" w14:textId="7C20AAEA" w:rsidR="001C771A" w:rsidRPr="005F1255" w:rsidRDefault="001C771A" w:rsidP="001C771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Absence directly related to pregnancy, maternity or disability is not counted towards trigger levels.</w:t>
            </w:r>
          </w:p>
          <w:p w14:paraId="39CA6B96" w14:textId="4DCAE860" w:rsidR="00DB19B6" w:rsidRPr="005F1255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97" w14:textId="6FCF9702" w:rsidR="00DB19B6" w:rsidRPr="0074577B" w:rsidRDefault="00DB19B6" w:rsidP="00DB19B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98" w14:textId="04A5456B" w:rsidR="00DB19B6" w:rsidRPr="005F1255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Some employees with disabilities may have ‘reasonable adjustments’ in place and may feel they are viewed as being less </w:t>
            </w:r>
            <w:r w:rsidR="00FF63B0" w:rsidRPr="005F1255">
              <w:rPr>
                <w:rFonts w:ascii="Lato" w:hAnsi="Lato"/>
                <w:sz w:val="22"/>
                <w:szCs w:val="22"/>
              </w:rPr>
              <w:t>healthy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at undertaking their role than others because of their need for reasonable adjustment(s).</w:t>
            </w:r>
          </w:p>
        </w:tc>
      </w:tr>
      <w:tr w:rsidR="00E9760D" w:rsidRPr="00351CCD" w14:paraId="39CA6BA0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74577B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74577B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329735D8" w:rsidR="00E9760D" w:rsidRPr="0074577B" w:rsidRDefault="00DB19B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4BB50EE0" w14:textId="77777777" w:rsidR="00B94D76" w:rsidRPr="005F1255" w:rsidRDefault="00DB19B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The informal resolution approach of this Procedure should enable employees to clearly outline any short-term implications on their absence from the transition process.</w:t>
            </w:r>
          </w:p>
          <w:p w14:paraId="39CA6B9D" w14:textId="3A98841C" w:rsidR="007767F6" w:rsidRPr="005F1255" w:rsidRDefault="007767F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39CA6B9E" w14:textId="301CD3E0" w:rsidR="00E9760D" w:rsidRPr="0074577B" w:rsidRDefault="00DB19B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9F" w14:textId="2FD3DD96" w:rsidR="00E9760D" w:rsidRPr="005F1255" w:rsidRDefault="00DB19B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Transitioning employees may find their health / performance temporarily affected due to </w:t>
            </w:r>
            <w:r w:rsidRPr="005F1255">
              <w:rPr>
                <w:rFonts w:ascii="Lato" w:hAnsi="Lato"/>
                <w:sz w:val="22"/>
                <w:szCs w:val="22"/>
              </w:rPr>
              <w:lastRenderedPageBreak/>
              <w:t>the impact/side effects</w:t>
            </w:r>
            <w:r w:rsidR="00946425" w:rsidRPr="005F1255">
              <w:rPr>
                <w:rFonts w:ascii="Lato" w:hAnsi="Lato"/>
                <w:sz w:val="22"/>
                <w:szCs w:val="22"/>
              </w:rPr>
              <w:t xml:space="preserve">, if there are any, related </w:t>
            </w:r>
            <w:r w:rsidR="000A2732" w:rsidRPr="005F1255">
              <w:rPr>
                <w:rFonts w:ascii="Lato" w:hAnsi="Lato"/>
                <w:sz w:val="22"/>
                <w:szCs w:val="22"/>
              </w:rPr>
              <w:t>o</w:t>
            </w:r>
            <w:r w:rsidRPr="005F1255">
              <w:rPr>
                <w:rFonts w:ascii="Lato" w:hAnsi="Lato"/>
                <w:sz w:val="22"/>
                <w:szCs w:val="22"/>
              </w:rPr>
              <w:t>f the transition process</w:t>
            </w:r>
            <w:r w:rsidR="000A2732" w:rsidRPr="005F1255">
              <w:rPr>
                <w:rFonts w:ascii="Lato" w:hAnsi="Lato"/>
                <w:sz w:val="22"/>
                <w:szCs w:val="22"/>
              </w:rPr>
              <w:t>.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E9760D" w:rsidRPr="00351CCD" w14:paraId="39CA6BA6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74577B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Marriage/civil partnership (relevant in employment law)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215B429A" w:rsidR="00E9760D" w:rsidRPr="0074577B" w:rsidRDefault="1A0D4AB2" w:rsidP="1A0D4AB2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A3" w14:textId="22FCFC6C" w:rsidR="00E9760D" w:rsidRPr="0074577B" w:rsidRDefault="1A0D4A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This procedure applies to all employees fairly regardless of whether they are in marriage or civil partnership.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A4" w14:textId="3F906F85" w:rsidR="00E9760D" w:rsidRPr="0074577B" w:rsidRDefault="1A0D4AB2" w:rsidP="1A0D4AB2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A5" w14:textId="5F50F782" w:rsidR="00E9760D" w:rsidRPr="005F1255" w:rsidRDefault="1A0D4A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No negative impact has been identified.</w:t>
            </w:r>
          </w:p>
        </w:tc>
      </w:tr>
      <w:tr w:rsidR="00144440" w:rsidRPr="00351CCD" w14:paraId="39CA6BAC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144440" w:rsidRPr="0074577B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Pregnancy and Maternity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363DD6FC" w:rsidR="00144440" w:rsidRPr="0074577B" w:rsidRDefault="00144440" w:rsidP="00144440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19712756" w14:textId="77777777" w:rsidR="00144440" w:rsidRPr="005F1255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 informal resolution approach of this Procedure should enable employees to clearly outline any short-term implications on their overall attendance from being on </w:t>
            </w:r>
            <w:r w:rsidR="006E75A6" w:rsidRPr="005F1255">
              <w:rPr>
                <w:rFonts w:ascii="Lato" w:hAnsi="Lato"/>
                <w:sz w:val="22"/>
                <w:szCs w:val="22"/>
              </w:rPr>
              <w:t>maternity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leave for up to a year or longer if also taken accrued leave.</w:t>
            </w:r>
          </w:p>
          <w:p w14:paraId="15930334" w14:textId="77777777" w:rsidR="001C771A" w:rsidRPr="005F1255" w:rsidRDefault="001C771A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99E84DA" w14:textId="22191BC0" w:rsidR="001C771A" w:rsidRPr="005F1255" w:rsidRDefault="001C771A" w:rsidP="001C771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Absence directly related to pregnancy, maternity or disability is not counted towards trigger levels.</w:t>
            </w:r>
          </w:p>
          <w:p w14:paraId="39CA6BA9" w14:textId="668554B4" w:rsidR="001C771A" w:rsidRPr="005F1255" w:rsidRDefault="001C771A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39CA6BAA" w14:textId="645B1909" w:rsidR="00144440" w:rsidRPr="0074577B" w:rsidRDefault="00144440" w:rsidP="0014444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AB" w14:textId="28366D6B" w:rsidR="00144440" w:rsidRPr="005F1255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Employees returning from maternity leave after 1 year (or longer if they have also taken accrued annual leave) are likely to find it takes them time to </w:t>
            </w:r>
            <w:r w:rsidR="00D4581D" w:rsidRPr="005F1255">
              <w:rPr>
                <w:rFonts w:ascii="Lato" w:hAnsi="Lato"/>
                <w:sz w:val="22"/>
                <w:szCs w:val="22"/>
              </w:rPr>
              <w:t>manage their time between work and family life, that may lead to attendance issues and formal processes.</w:t>
            </w:r>
          </w:p>
        </w:tc>
      </w:tr>
      <w:tr w:rsidR="00144440" w:rsidRPr="00351CCD" w14:paraId="39CA6BB2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144440" w:rsidRPr="0074577B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Race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4DED4889" w:rsidR="00144440" w:rsidRPr="0074577B" w:rsidRDefault="00682A31" w:rsidP="00144440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AF" w14:textId="7931EF81" w:rsidR="00144440" w:rsidRPr="005F1255" w:rsidRDefault="00B5370D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B</w:t>
            </w:r>
            <w:r w:rsidR="00AD755A" w:rsidRPr="005F1255">
              <w:rPr>
                <w:rFonts w:ascii="Lato" w:hAnsi="Lato"/>
                <w:sz w:val="22"/>
                <w:szCs w:val="22"/>
              </w:rPr>
              <w:t>A</w:t>
            </w:r>
            <w:r w:rsidRPr="005F1255">
              <w:rPr>
                <w:rFonts w:ascii="Lato" w:hAnsi="Lato"/>
                <w:sz w:val="22"/>
                <w:szCs w:val="22"/>
              </w:rPr>
              <w:t>ME employees may have faced additional challenges in their lives, such as racial harassment or discrimination, with subsequent possible negative effects on their mental wellbeing – provision of a consistent and supportive framework is likely to be a positive support for B</w:t>
            </w:r>
            <w:r w:rsidR="00C32CF8" w:rsidRPr="005F1255">
              <w:rPr>
                <w:rFonts w:ascii="Lato" w:hAnsi="Lato"/>
                <w:sz w:val="22"/>
                <w:szCs w:val="22"/>
              </w:rPr>
              <w:t>A</w:t>
            </w:r>
            <w:r w:rsidRPr="005F1255">
              <w:rPr>
                <w:rFonts w:ascii="Lato" w:hAnsi="Lato"/>
                <w:sz w:val="22"/>
                <w:szCs w:val="22"/>
              </w:rPr>
              <w:t>ME employees</w:t>
            </w:r>
            <w:r w:rsidR="00D12B5A" w:rsidRPr="005F1255">
              <w:rPr>
                <w:rFonts w:ascii="Lato" w:hAnsi="Lato"/>
                <w:sz w:val="22"/>
                <w:szCs w:val="22"/>
              </w:rPr>
              <w:t xml:space="preserve">, e.g. </w:t>
            </w:r>
            <w:r w:rsidR="002074B0" w:rsidRPr="005F1255">
              <w:rPr>
                <w:rFonts w:ascii="Lato" w:hAnsi="Lato"/>
                <w:sz w:val="22"/>
                <w:szCs w:val="22"/>
              </w:rPr>
              <w:t>providing Employee Assistant programme.</w:t>
            </w:r>
            <w:r w:rsidR="00C32CF8" w:rsidRPr="005F1255">
              <w:rPr>
                <w:rFonts w:ascii="Lato" w:hAnsi="Lato"/>
                <w:sz w:val="22"/>
                <w:szCs w:val="22"/>
              </w:rPr>
              <w:t xml:space="preserve">  Any health condition that </w:t>
            </w:r>
            <w:r w:rsidR="006254F8" w:rsidRPr="005F1255">
              <w:rPr>
                <w:rFonts w:ascii="Lato" w:hAnsi="Lato"/>
                <w:sz w:val="22"/>
                <w:szCs w:val="22"/>
              </w:rPr>
              <w:t xml:space="preserve">impacts disproportionally on people from a particular ethnic minority will be </w:t>
            </w:r>
            <w:proofErr w:type="gramStart"/>
            <w:r w:rsidR="006254F8" w:rsidRPr="005F1255">
              <w:rPr>
                <w:rFonts w:ascii="Lato" w:hAnsi="Lato"/>
                <w:sz w:val="22"/>
                <w:szCs w:val="22"/>
              </w:rPr>
              <w:t>taken into account</w:t>
            </w:r>
            <w:proofErr w:type="gramEnd"/>
            <w:r w:rsidR="006254F8" w:rsidRPr="005F1255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B0" w14:textId="2C5741ED" w:rsidR="00144440" w:rsidRPr="0074577B" w:rsidRDefault="00682A31" w:rsidP="0014444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C59E54A" w14:textId="6DE8844E" w:rsidR="00144440" w:rsidRPr="005F1255" w:rsidRDefault="00965E58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B</w:t>
            </w:r>
            <w:r w:rsidR="00AD755A" w:rsidRPr="005F1255">
              <w:rPr>
                <w:rFonts w:ascii="Lato" w:hAnsi="Lato"/>
                <w:sz w:val="22"/>
                <w:szCs w:val="22"/>
              </w:rPr>
              <w:t>A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ME employees may </w:t>
            </w:r>
            <w:r w:rsidR="000A2732" w:rsidRPr="005F1255">
              <w:rPr>
                <w:rFonts w:ascii="Lato" w:hAnsi="Lato"/>
                <w:sz w:val="22"/>
                <w:szCs w:val="22"/>
              </w:rPr>
              <w:t>b</w:t>
            </w:r>
            <w:r w:rsidR="009A3D54" w:rsidRPr="005F1255">
              <w:rPr>
                <w:rFonts w:ascii="Lato" w:hAnsi="Lato"/>
                <w:sz w:val="22"/>
                <w:szCs w:val="22"/>
              </w:rPr>
              <w:t xml:space="preserve">e adversely affected by </w:t>
            </w:r>
            <w:r w:rsidR="00C32CF8" w:rsidRPr="005F1255">
              <w:rPr>
                <w:rFonts w:ascii="Lato" w:hAnsi="Lato"/>
                <w:sz w:val="22"/>
                <w:szCs w:val="22"/>
              </w:rPr>
              <w:t>some health conditions.</w:t>
            </w:r>
            <w:r w:rsidR="001758AA" w:rsidRPr="005F1255">
              <w:rPr>
                <w:rFonts w:ascii="Lato" w:hAnsi="Lato"/>
                <w:sz w:val="22"/>
                <w:szCs w:val="22"/>
              </w:rPr>
              <w:t xml:space="preserve">  </w:t>
            </w:r>
          </w:p>
          <w:p w14:paraId="1A65DBCC" w14:textId="77777777" w:rsidR="00D45BAF" w:rsidRPr="005F1255" w:rsidRDefault="00D45BAF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1" w14:textId="057B71EB" w:rsidR="00D45BAF" w:rsidRPr="005F1255" w:rsidRDefault="00D45BAF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144440" w:rsidRPr="00351CCD" w14:paraId="39CA6BB8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144440" w:rsidRPr="0074577B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Religion or belief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702C7F5D" w:rsidR="00144440" w:rsidRPr="0074577B" w:rsidRDefault="00A440C4" w:rsidP="00144440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B5" w14:textId="76E78563" w:rsidR="00144440" w:rsidRPr="005F1255" w:rsidRDefault="00930FB7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  <w:lang w:bidi="en-GB"/>
              </w:rPr>
              <w:t>The College will ensure that all employees will be able to access support regardless of their religion or belief.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B6" w14:textId="63EFB7C4" w:rsidR="00144440" w:rsidRPr="0074577B" w:rsidRDefault="00682A31" w:rsidP="0014444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B7" w14:textId="52012501" w:rsidR="00144440" w:rsidRPr="005F1255" w:rsidRDefault="00814497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Similar to race, some employees may be reluctant to seek help because of their religion or belief.</w:t>
            </w:r>
          </w:p>
        </w:tc>
      </w:tr>
      <w:tr w:rsidR="001D39E6" w:rsidRPr="00351CCD" w14:paraId="39CA6BBE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1D39E6" w:rsidRPr="0074577B" w:rsidRDefault="001D39E6" w:rsidP="001D39E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20BAD09" w:rsidR="001D39E6" w:rsidRPr="0074577B" w:rsidRDefault="001D39E6" w:rsidP="001D39E6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2FE2BC8F" w14:textId="6BCDEA0F" w:rsidR="001D39E6" w:rsidRPr="005F1255" w:rsidRDefault="001D39E6" w:rsidP="001D39E6">
            <w:pPr>
              <w:spacing w:line="276" w:lineRule="auto"/>
              <w:rPr>
                <w:rFonts w:ascii="Lato" w:hAnsi="Lato"/>
                <w:sz w:val="22"/>
                <w:szCs w:val="22"/>
                <w:lang w:bidi="en-GB"/>
              </w:rPr>
            </w:pPr>
            <w:r w:rsidRPr="005F1255">
              <w:rPr>
                <w:rFonts w:ascii="Lato" w:hAnsi="Lato"/>
                <w:sz w:val="22"/>
                <w:szCs w:val="22"/>
                <w:lang w:bidi="en-GB"/>
              </w:rPr>
              <w:t xml:space="preserve">The College will ensure that all employees will be able to access support regardless of their </w:t>
            </w:r>
            <w:r w:rsidR="00720FE8" w:rsidRPr="005F1255">
              <w:rPr>
                <w:rFonts w:ascii="Lato" w:hAnsi="Lato"/>
                <w:sz w:val="22"/>
                <w:szCs w:val="22"/>
                <w:lang w:bidi="en-GB"/>
              </w:rPr>
              <w:t>sex.</w:t>
            </w:r>
          </w:p>
          <w:p w14:paraId="4B8DC580" w14:textId="77777777" w:rsidR="000B4262" w:rsidRPr="005F1255" w:rsidRDefault="000B4262" w:rsidP="001D39E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B" w14:textId="5FC15CB5" w:rsidR="000B4262" w:rsidRPr="005F1255" w:rsidRDefault="000B4262" w:rsidP="001D39E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Regular communication to all employees what supports the College offer, e.g. Employee Assistant programme etc.</w:t>
            </w:r>
          </w:p>
        </w:tc>
        <w:tc>
          <w:tcPr>
            <w:tcW w:w="370" w:type="pct"/>
            <w:shd w:val="clear" w:color="auto" w:fill="FFFFFF" w:themeFill="background1"/>
          </w:tcPr>
          <w:p w14:paraId="4A50E927" w14:textId="77777777" w:rsidR="001D39E6" w:rsidRPr="0074577B" w:rsidRDefault="001D39E6" w:rsidP="001D39E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  <w:p w14:paraId="39CA6BBC" w14:textId="76D56CDE" w:rsidR="001D39E6" w:rsidRPr="0074577B" w:rsidRDefault="001D39E6" w:rsidP="001D39E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1DB4472A" w14:textId="2D3F46AC" w:rsidR="001828C8" w:rsidRPr="005F1255" w:rsidRDefault="001828C8" w:rsidP="001828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In general, male employees are less likely to seek wellbeing and counselling support when needed. Therefore, managers / colleagues should encourage male employees to seek support where they have concerns about their welfare. </w:t>
            </w:r>
          </w:p>
          <w:p w14:paraId="6F87119E" w14:textId="62D8BD64" w:rsidR="00D42C7B" w:rsidRDefault="00D42C7B" w:rsidP="001828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FE69E6A" w14:textId="3AA63074" w:rsidR="00A21CC3" w:rsidRPr="005F1255" w:rsidRDefault="1A0D4AB2" w:rsidP="001828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Female staff may be reluctant to disclose their menstrual health problems.</w:t>
            </w:r>
          </w:p>
          <w:p w14:paraId="39CA6BBD" w14:textId="77777777" w:rsidR="001D39E6" w:rsidRPr="005F1255" w:rsidRDefault="001D39E6" w:rsidP="00D42C7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F44578" w:rsidRPr="00351CCD" w14:paraId="39CA6BC4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F44578" w:rsidRPr="0074577B" w:rsidRDefault="00F44578" w:rsidP="00F4457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2A10E3AC" w:rsidR="00F44578" w:rsidRPr="0074577B" w:rsidRDefault="00F44578" w:rsidP="00F4457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C1" w14:textId="2D71FBA7" w:rsidR="00F44578" w:rsidRPr="005F1255" w:rsidRDefault="00F44578" w:rsidP="006E75A6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  <w:lang w:bidi="en-GB"/>
              </w:rPr>
              <w:t>LGBT employees may have faced additional challenges in their lives, such as homophobic or transgender discrimination, with subsequent possible negative effects on their mental wellbeing – provision of a consistent and supportive framework is likely to be a positive support for LGBT employees.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C2" w14:textId="0B53CF86" w:rsidR="00F44578" w:rsidRPr="0074577B" w:rsidRDefault="00F44578" w:rsidP="00F4457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C3" w14:textId="23D7677F" w:rsidR="00F44578" w:rsidRPr="005F1255" w:rsidRDefault="006E75A6" w:rsidP="00634052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LGBT employees may not wish to disclose their sexual orientation to their manager, </w:t>
            </w:r>
            <w:r w:rsidR="00EC1A85" w:rsidRPr="005F1255">
              <w:rPr>
                <w:rFonts w:ascii="Lato" w:hAnsi="Lato"/>
                <w:sz w:val="22"/>
                <w:szCs w:val="22"/>
              </w:rPr>
              <w:t xml:space="preserve">which makes them difficult for seeking any supports they require although it’s available. </w:t>
            </w:r>
          </w:p>
        </w:tc>
      </w:tr>
    </w:tbl>
    <w:p w14:paraId="668BC2B9" w14:textId="68493C7F" w:rsidR="003E0686" w:rsidRPr="0074577B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74577B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351CCD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74577B" w:rsidRDefault="003E0686" w:rsidP="00777B45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74577B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74577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74577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9C7FC1" w:rsidRPr="00351CCD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9C7FC1" w:rsidRPr="0074577B" w:rsidRDefault="009C7FC1" w:rsidP="009C7F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Social deprivation</w:t>
            </w:r>
          </w:p>
          <w:p w14:paraId="39CA6BC6" w14:textId="09CAE40A" w:rsidR="009C7FC1" w:rsidRPr="0074577B" w:rsidRDefault="009C7FC1" w:rsidP="009C7F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6609A33D" w:rsidR="009C7FC1" w:rsidRPr="0074577B" w:rsidRDefault="00EC1A85" w:rsidP="009C7FC1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2551690F" w:rsidR="009C7FC1" w:rsidRPr="005F1255" w:rsidRDefault="009C7FC1" w:rsidP="009C7FC1">
            <w:pPr>
              <w:spacing w:line="276" w:lineRule="auto"/>
              <w:rPr>
                <w:rFonts w:ascii="Lato" w:hAnsi="Lato"/>
                <w:sz w:val="22"/>
                <w:szCs w:val="22"/>
                <w:lang w:bidi="en-GB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Employees who have experienced social deprivation may have faced additional challenges in their lives, with subsequent possible negative effects on their mental wellbeing – provision of a consistent and supportive framework is likely to be a positive support for all employees who have experienced social deprivation.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501F284C" w:rsidR="009C7FC1" w:rsidRPr="0074577B" w:rsidRDefault="009C7FC1" w:rsidP="009C7FC1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31AFB6E" w:rsidR="009C7FC1" w:rsidRPr="005F1255" w:rsidRDefault="00EC1A85" w:rsidP="009C7F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Employees who have experienced social deprivation may not wish to disclose their background, which makes them difficult for seeking any supports they require although it’s available.</w:t>
            </w:r>
          </w:p>
        </w:tc>
      </w:tr>
      <w:tr w:rsidR="0096472E" w:rsidRPr="00351CCD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18272DD0" w:rsidR="0096472E" w:rsidRPr="0074577B" w:rsidRDefault="0096472E" w:rsidP="0096472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5089E649" w:rsidR="0096472E" w:rsidRPr="005F1255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Employees who are care experienced may have faced additional challenges in their lives, with subsequent possible negative effects on their mental wellbeing – provision of a consistent and supportive framework is likely to be a positive support for care experienced employees.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6574C76A" w:rsidR="0096472E" w:rsidRPr="0074577B" w:rsidRDefault="0096472E" w:rsidP="0096472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461CAD0E" w:rsidR="0096472E" w:rsidRPr="005F1255" w:rsidRDefault="00EC1A85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Employees who are care experienced may not wish to disclose their background, which makes them difficult for seeking any supports they require although it’s available.</w:t>
            </w:r>
          </w:p>
        </w:tc>
      </w:tr>
      <w:tr w:rsidR="0096472E" w:rsidRPr="00351CCD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7677C23F" w:rsidR="0096472E" w:rsidRPr="0074577B" w:rsidRDefault="0096472E" w:rsidP="0096472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2C32D185" w:rsidR="0096472E" w:rsidRPr="005F1255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Employees who have caring responsibilities may end up feeling overwhelmed by them.  Support provided through this procedure and potential early intervention will be more helpful for employees with caring responsibilities.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174FFE13" w:rsidR="0096472E" w:rsidRPr="0074577B" w:rsidRDefault="00194857" w:rsidP="0096472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  <w:r w:rsidR="0096472E" w:rsidRPr="0074577B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73CB4A22" w:rsidR="0096472E" w:rsidRPr="005F1255" w:rsidRDefault="00C373C1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 with caring responsibilities may be reluctant to ask for/request the different treatment for fear of being viewed as less reliable/committed etc</w:t>
            </w:r>
            <w:r w:rsidR="0096472E" w:rsidRPr="005F1255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96472E" w:rsidRPr="00351CCD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59B1725F" w:rsidR="0096472E" w:rsidRPr="0074577B" w:rsidRDefault="0096472E" w:rsidP="0096472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0B4262" w:rsidRPr="0074577B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1345702E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76CB562E" w:rsidR="0096472E" w:rsidRPr="0074577B" w:rsidRDefault="000B4262" w:rsidP="0096472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0E62B697" w:rsidR="0096472E" w:rsidRPr="005F1255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0F84BEA" w14:textId="77777777" w:rsidR="00FB7135" w:rsidRPr="0074577B" w:rsidRDefault="00FB7135">
      <w:pPr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74577B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74577B">
        <w:rPr>
          <w:rFonts w:ascii="Lato" w:hAnsi="Lato"/>
          <w:b/>
          <w:sz w:val="22"/>
          <w:szCs w:val="22"/>
        </w:rPr>
        <w:t xml:space="preserve"> </w:t>
      </w:r>
      <w:r w:rsidR="003E0686" w:rsidRPr="0074577B">
        <w:rPr>
          <w:rFonts w:ascii="Lato" w:hAnsi="Lato"/>
          <w:b/>
          <w:sz w:val="22"/>
          <w:szCs w:val="22"/>
        </w:rPr>
        <w:t>4</w:t>
      </w:r>
      <w:r w:rsidR="00850631" w:rsidRPr="0074577B">
        <w:rPr>
          <w:rFonts w:ascii="Lato" w:hAnsi="Lato"/>
          <w:b/>
          <w:sz w:val="22"/>
          <w:szCs w:val="22"/>
        </w:rPr>
        <w:t xml:space="preserve"> – Actin</w:t>
      </w:r>
      <w:r w:rsidR="00F7144E" w:rsidRPr="0074577B">
        <w:rPr>
          <w:rFonts w:ascii="Lato" w:hAnsi="Lato"/>
          <w:b/>
          <w:sz w:val="22"/>
          <w:szCs w:val="22"/>
        </w:rPr>
        <w:t>g on</w:t>
      </w:r>
      <w:r w:rsidR="00850631" w:rsidRPr="0074577B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74577B">
        <w:rPr>
          <w:rFonts w:ascii="Lato" w:hAnsi="Lato"/>
          <w:b/>
          <w:sz w:val="22"/>
          <w:szCs w:val="22"/>
        </w:rPr>
        <w:t>.</w:t>
      </w:r>
      <w:r w:rsidR="00106EAB" w:rsidRPr="0074577B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351CCD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74577B" w:rsidRDefault="006D3F4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D77EBC" w:rsidRPr="0074577B" w:rsidRDefault="00C76212" w:rsidP="00F72963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72D3A346" w14:textId="77777777" w:rsidR="006D3F43" w:rsidRPr="005F1255" w:rsidRDefault="0046102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There may be additional support required for </w:t>
            </w:r>
            <w:r w:rsidR="00D4282E" w:rsidRPr="005F1255">
              <w:rPr>
                <w:rFonts w:ascii="Lato" w:hAnsi="Lato"/>
                <w:sz w:val="22"/>
                <w:szCs w:val="22"/>
              </w:rPr>
              <w:t xml:space="preserve">LGBT employees or employee who </w:t>
            </w:r>
            <w:r w:rsidR="002742E1" w:rsidRPr="005F1255">
              <w:rPr>
                <w:rFonts w:ascii="Lato" w:hAnsi="Lato"/>
                <w:sz w:val="22"/>
                <w:szCs w:val="22"/>
              </w:rPr>
              <w:t>have experienced social deprivation to support</w:t>
            </w:r>
            <w:r w:rsidR="00821746" w:rsidRPr="005F1255">
              <w:rPr>
                <w:rFonts w:ascii="Lato" w:hAnsi="Lato"/>
                <w:sz w:val="22"/>
                <w:szCs w:val="22"/>
              </w:rPr>
              <w:t>, especially for</w:t>
            </w:r>
            <w:r w:rsidR="002742E1" w:rsidRPr="005F1255">
              <w:rPr>
                <w:rFonts w:ascii="Lato" w:hAnsi="Lato"/>
                <w:sz w:val="22"/>
                <w:szCs w:val="22"/>
              </w:rPr>
              <w:t xml:space="preserve"> their mental </w:t>
            </w:r>
            <w:r w:rsidR="00821746" w:rsidRPr="005F1255">
              <w:rPr>
                <w:rFonts w:ascii="Lato" w:hAnsi="Lato"/>
                <w:sz w:val="22"/>
                <w:szCs w:val="22"/>
              </w:rPr>
              <w:t xml:space="preserve">welfare. </w:t>
            </w:r>
          </w:p>
          <w:p w14:paraId="70AF9FC6" w14:textId="77777777" w:rsidR="000B4262" w:rsidRPr="005F1255" w:rsidRDefault="000B4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9DE980D" w14:textId="77777777" w:rsidR="000B4262" w:rsidRPr="005F1255" w:rsidRDefault="000B4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Regular and more frequent communication</w:t>
            </w:r>
            <w:r w:rsidR="001F0615" w:rsidRPr="005F1255">
              <w:rPr>
                <w:rFonts w:ascii="Lato" w:hAnsi="Lato"/>
                <w:sz w:val="22"/>
                <w:szCs w:val="22"/>
              </w:rPr>
              <w:t>s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to all employees regarding to mental health support </w:t>
            </w:r>
            <w:r w:rsidR="001F0615" w:rsidRPr="005F1255">
              <w:rPr>
                <w:rFonts w:ascii="Lato" w:hAnsi="Lato"/>
                <w:sz w:val="22"/>
                <w:szCs w:val="22"/>
              </w:rPr>
              <w:t xml:space="preserve">the College supply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may </w:t>
            </w:r>
            <w:r w:rsidR="001F0615" w:rsidRPr="005F1255">
              <w:rPr>
                <w:rFonts w:ascii="Lato" w:hAnsi="Lato"/>
                <w:sz w:val="22"/>
                <w:szCs w:val="22"/>
              </w:rPr>
              <w:t xml:space="preserve">encourage </w:t>
            </w:r>
            <w:r w:rsidRPr="005F1255">
              <w:rPr>
                <w:rFonts w:ascii="Lato" w:hAnsi="Lato"/>
                <w:sz w:val="22"/>
                <w:szCs w:val="22"/>
              </w:rPr>
              <w:t>early intervention of attendance issues.</w:t>
            </w:r>
          </w:p>
          <w:p w14:paraId="7DAE69A5" w14:textId="77777777" w:rsidR="001F0615" w:rsidRPr="005F1255" w:rsidRDefault="001F061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DF11833" w14:textId="2717DD6C" w:rsidR="001F0615" w:rsidRPr="005F1255" w:rsidRDefault="001F061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Ensure all managers to be aware that there are variety of guidance for supporting employees in Manager Portal.</w:t>
            </w:r>
          </w:p>
          <w:p w14:paraId="39CA6BDD" w14:textId="5165EAE4" w:rsidR="001F0615" w:rsidRPr="005F1255" w:rsidRDefault="001F061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7144E" w:rsidRPr="00351CCD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F7144E" w:rsidRPr="0074577B" w:rsidRDefault="00F7144E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Is </w:t>
            </w:r>
            <w:r w:rsidR="00325293" w:rsidRPr="0074577B">
              <w:rPr>
                <w:rFonts w:ascii="Lato" w:hAnsi="Lato"/>
                <w:sz w:val="22"/>
                <w:szCs w:val="22"/>
              </w:rPr>
              <w:t>there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a need to address any gaps in </w:t>
            </w:r>
            <w:r w:rsidR="00325293" w:rsidRPr="0074577B">
              <w:rPr>
                <w:rFonts w:ascii="Lato" w:hAnsi="Lato"/>
                <w:sz w:val="22"/>
                <w:szCs w:val="22"/>
              </w:rPr>
              <w:t>evidence</w:t>
            </w:r>
            <w:r w:rsidRPr="0074577B">
              <w:rPr>
                <w:rFonts w:ascii="Lato" w:hAnsi="Lato"/>
                <w:sz w:val="22"/>
                <w:szCs w:val="22"/>
              </w:rP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14:paraId="2A3ECA16" w14:textId="1A39569C" w:rsidR="00F00B4F" w:rsidRPr="005F1255" w:rsidRDefault="00F00B4F" w:rsidP="0003406B">
            <w:pPr>
              <w:pStyle w:val="TableParagraph"/>
              <w:rPr>
                <w:rFonts w:ascii="Lato" w:hAnsi="Lato"/>
              </w:rPr>
            </w:pPr>
            <w:r w:rsidRPr="005F1255">
              <w:rPr>
                <w:rFonts w:ascii="Lato" w:hAnsi="Lato"/>
              </w:rPr>
              <w:t>Going forward HR can monitor the protected characteristics of those employees who participate in this procedure and review and identify if particular groups are disproportionately being referred/self-referred to this procedure.</w:t>
            </w:r>
          </w:p>
          <w:p w14:paraId="382D0212" w14:textId="77777777" w:rsidR="0003406B" w:rsidRPr="005F1255" w:rsidRDefault="0003406B" w:rsidP="0003406B">
            <w:pPr>
              <w:rPr>
                <w:rFonts w:ascii="Lato" w:hAnsi="Lato"/>
                <w:sz w:val="22"/>
                <w:szCs w:val="22"/>
              </w:rPr>
            </w:pPr>
          </w:p>
          <w:p w14:paraId="54277D21" w14:textId="265BF10B" w:rsidR="00C373C1" w:rsidRPr="005F1255" w:rsidRDefault="00C373C1" w:rsidP="0003406B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Will collect the feedback from HR Partner who works closely with managers for dealing with Attendance issues</w:t>
            </w:r>
            <w:r w:rsidR="00C026A8" w:rsidRPr="005F1255">
              <w:rPr>
                <w:rFonts w:ascii="Lato" w:hAnsi="Lato"/>
                <w:sz w:val="22"/>
                <w:szCs w:val="22"/>
              </w:rPr>
              <w:t xml:space="preserve"> and </w:t>
            </w:r>
            <w:r w:rsidR="00602267" w:rsidRPr="005F1255">
              <w:rPr>
                <w:rFonts w:ascii="Lato" w:hAnsi="Lato"/>
                <w:sz w:val="22"/>
                <w:szCs w:val="22"/>
              </w:rPr>
              <w:t>analyse them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1537365A" w14:textId="77777777" w:rsidR="00C373C1" w:rsidRPr="005F1255" w:rsidRDefault="00C373C1" w:rsidP="0003406B">
            <w:pPr>
              <w:rPr>
                <w:rFonts w:ascii="Lato" w:hAnsi="Lato"/>
                <w:sz w:val="22"/>
                <w:szCs w:val="22"/>
              </w:rPr>
            </w:pPr>
          </w:p>
          <w:p w14:paraId="74988E70" w14:textId="77777777" w:rsidR="00F7144E" w:rsidRPr="005F1255" w:rsidRDefault="00C373C1" w:rsidP="0003406B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Regular requests for general feedback on the implementation of this procedure from the Unions at local JNC meetings. </w:t>
            </w:r>
          </w:p>
          <w:p w14:paraId="39CA6BE0" w14:textId="59964316" w:rsidR="001F0615" w:rsidRPr="005F1255" w:rsidRDefault="001F0615" w:rsidP="0003406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44730" w:rsidRPr="00351CCD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344730" w:rsidRPr="0074577B" w:rsidRDefault="00344730" w:rsidP="0034473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3" w14:textId="1444A725" w:rsidR="00344730" w:rsidRPr="005F1255" w:rsidRDefault="00344730" w:rsidP="00344730">
            <w:pPr>
              <w:pStyle w:val="ListParagraph"/>
              <w:ind w:left="0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This updated procedure enables and supports employees </w:t>
            </w:r>
            <w:r w:rsidR="00F665CB" w:rsidRPr="005F1255">
              <w:rPr>
                <w:rFonts w:ascii="Lato" w:hAnsi="Lato"/>
                <w:sz w:val="22"/>
                <w:szCs w:val="22"/>
              </w:rPr>
              <w:t xml:space="preserve">and managers to understand </w:t>
            </w:r>
            <w:r w:rsidR="00DD3C8C" w:rsidRPr="005F1255">
              <w:rPr>
                <w:rFonts w:ascii="Lato" w:hAnsi="Lato"/>
                <w:sz w:val="22"/>
                <w:szCs w:val="22"/>
              </w:rPr>
              <w:t xml:space="preserve">the processes and what supports </w:t>
            </w:r>
            <w:r w:rsidR="00FD7DE7" w:rsidRPr="005F1255">
              <w:rPr>
                <w:rFonts w:ascii="Lato" w:hAnsi="Lato"/>
                <w:sz w:val="22"/>
                <w:szCs w:val="22"/>
              </w:rPr>
              <w:t>they are provided by the College</w:t>
            </w:r>
            <w:r w:rsidR="00602267" w:rsidRPr="005F1255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344730" w:rsidRPr="00351CCD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344730" w:rsidRPr="0074577B" w:rsidRDefault="00344730" w:rsidP="0034473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1B9D4AA9" w:rsidR="00344730" w:rsidRPr="005F1255" w:rsidRDefault="00D21B3B" w:rsidP="0034473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  <w:lang w:val="en-US"/>
              </w:rPr>
              <w:t>This procedure will be reviewed and approved by the Senior Management Team</w:t>
            </w:r>
            <w:r w:rsidR="00F008AF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and </w:t>
            </w:r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>the Executive team will review and monitor this procedure</w:t>
            </w:r>
            <w:r w:rsidR="001F0615" w:rsidRPr="005F1255">
              <w:rPr>
                <w:rFonts w:ascii="Lato" w:hAnsi="Lato"/>
                <w:sz w:val="22"/>
                <w:szCs w:val="22"/>
                <w:lang w:val="en-US"/>
              </w:rPr>
              <w:t>,</w:t>
            </w:r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on an ongoing basis, </w:t>
            </w:r>
            <w:r w:rsidR="00602267" w:rsidRPr="005F1255">
              <w:rPr>
                <w:rFonts w:ascii="Lato" w:hAnsi="Lato"/>
                <w:sz w:val="22"/>
                <w:szCs w:val="22"/>
                <w:lang w:val="en-US"/>
              </w:rPr>
              <w:t xml:space="preserve">will </w:t>
            </w:r>
            <w:proofErr w:type="gramStart"/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>tak</w:t>
            </w:r>
            <w:r w:rsidR="00602267" w:rsidRPr="005F1255">
              <w:rPr>
                <w:rFonts w:ascii="Lato" w:hAnsi="Lato"/>
                <w:sz w:val="22"/>
                <w:szCs w:val="22"/>
                <w:lang w:val="en-US"/>
              </w:rPr>
              <w:t>e</w:t>
            </w:r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into account</w:t>
            </w:r>
            <w:proofErr w:type="gramEnd"/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legislative requirements and identified good practice.</w:t>
            </w:r>
          </w:p>
        </w:tc>
      </w:tr>
      <w:tr w:rsidR="00344730" w:rsidRPr="00351CCD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344730" w:rsidRPr="0074577B" w:rsidRDefault="00344730" w:rsidP="0034473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344730" w:rsidRPr="0074577B" w:rsidRDefault="00344730" w:rsidP="0034473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74577B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351CCD" w14:paraId="39CA6BF1" w14:textId="77777777" w:rsidTr="1A0D4AB2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Recommended </w:t>
            </w:r>
            <w:r w:rsidR="009975A9"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74577B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74577B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74577B">
              <w:rPr>
                <w:rFonts w:ascii="Lato" w:hAnsi="Lato"/>
                <w:sz w:val="22"/>
                <w:szCs w:val="22"/>
              </w:rPr>
              <w:t>)</w:t>
            </w:r>
            <w:r w:rsidR="00FC6575"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74577B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74577B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74577B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74577B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Pr="0074577B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Pr="0074577B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66D49316" w:rsidR="00C81A1C" w:rsidRPr="0074577B" w:rsidRDefault="00C81A1C" w:rsidP="1A0D4AB2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81A1C" w:rsidRPr="00351CCD" w14:paraId="39CA6BF5" w14:textId="77777777" w:rsidTr="1A0D4AB2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74577B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74577B">
              <w:rPr>
                <w:rFonts w:ascii="Lato" w:hAnsi="Lato"/>
                <w:sz w:val="22"/>
                <w:szCs w:val="22"/>
              </w:rPr>
              <w:t>:</w:t>
            </w:r>
            <w:r w:rsidR="009B759A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35DEC702" w:rsidR="00C81A1C" w:rsidRPr="0074577B" w:rsidRDefault="1A0D4AB2" w:rsidP="1A0D4AB2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1A0D4AB2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351CCD" w14:paraId="39CA6BF9" w14:textId="77777777" w:rsidTr="1A0D4AB2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74577B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74577B">
              <w:rPr>
                <w:rFonts w:ascii="Lato" w:hAnsi="Lato"/>
                <w:sz w:val="22"/>
                <w:szCs w:val="22"/>
              </w:rPr>
              <w:t>:</w:t>
            </w:r>
            <w:r w:rsidR="00675548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351CCD" w14:paraId="39CA6BFD" w14:textId="77777777" w:rsidTr="1A0D4AB2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74577B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74577B">
              <w:rPr>
                <w:rFonts w:ascii="Lato" w:hAnsi="Lato"/>
                <w:sz w:val="22"/>
                <w:szCs w:val="22"/>
              </w:rPr>
              <w:t>:</w:t>
            </w:r>
            <w:r w:rsidR="00675548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351CCD" w14:paraId="39CA6BFF" w14:textId="77777777" w:rsidTr="1A0D4AB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74577B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74577B">
              <w:rPr>
                <w:rFonts w:ascii="Lato" w:hAnsi="Lato"/>
                <w:sz w:val="22"/>
                <w:szCs w:val="22"/>
              </w:rPr>
              <w:t>o</w:t>
            </w:r>
            <w:r w:rsidR="00473F86" w:rsidRPr="0074577B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74577B">
              <w:rPr>
                <w:rFonts w:ascii="Lato" w:hAnsi="Lato"/>
                <w:sz w:val="22"/>
                <w:szCs w:val="22"/>
              </w:rPr>
              <w:t>r</w:t>
            </w:r>
            <w:r w:rsidR="00473F86" w:rsidRPr="0074577B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74577B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351CCD" w14:paraId="39CA6C01" w14:textId="77777777" w:rsidTr="1A0D4AB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74577B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74577B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74577B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t>Step</w:t>
      </w:r>
      <w:r w:rsidR="00777F52" w:rsidRPr="0074577B">
        <w:rPr>
          <w:rFonts w:ascii="Lato" w:hAnsi="Lato"/>
          <w:b/>
          <w:sz w:val="22"/>
          <w:szCs w:val="22"/>
        </w:rPr>
        <w:t xml:space="preserve"> </w:t>
      </w:r>
      <w:r w:rsidR="003E0686" w:rsidRPr="0074577B">
        <w:rPr>
          <w:rFonts w:ascii="Lato" w:hAnsi="Lato"/>
          <w:b/>
          <w:sz w:val="22"/>
          <w:szCs w:val="22"/>
        </w:rPr>
        <w:t>5</w:t>
      </w:r>
      <w:r w:rsidR="005C1F2A" w:rsidRPr="0074577B">
        <w:rPr>
          <w:rFonts w:ascii="Lato" w:hAnsi="Lato"/>
          <w:b/>
          <w:sz w:val="22"/>
          <w:szCs w:val="22"/>
        </w:rPr>
        <w:t>: The monitoring and review stage</w:t>
      </w:r>
      <w:r w:rsidR="0053368B" w:rsidRPr="0074577B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351CCD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74577B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74577B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74577B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74577B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74577B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74577B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74577B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74577B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16"/>
                <w:szCs w:val="16"/>
              </w:rPr>
            </w:pPr>
            <w:r w:rsidRPr="0074577B">
              <w:rPr>
                <w:rFonts w:ascii="Lato" w:hAnsi="Lato"/>
                <w:bCs/>
                <w:sz w:val="16"/>
                <w:szCs w:val="16"/>
              </w:rPr>
              <w:t>See Note 10</w:t>
            </w:r>
          </w:p>
        </w:tc>
      </w:tr>
      <w:tr w:rsidR="00C81A1C" w:rsidRPr="00351CCD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>T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74577B">
              <w:rPr>
                <w:rFonts w:ascii="Lato" w:hAnsi="Lato"/>
                <w:b/>
                <w:sz w:val="22"/>
                <w:szCs w:val="22"/>
              </w:rPr>
              <w:t>: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74577B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74577B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74577B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74577B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74577B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74577B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C39A9" w:rsidRPr="00351CCD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37D46C1B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lastRenderedPageBreak/>
              <w:t>Run quarterly statistical reports on cases which were active/live during this period by each protected characteristic to identify if those in any particular group(s) are being disproportionately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6B44161B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Systems Team (Irene Michie)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1D76313" w:rsidR="00EC39A9" w:rsidRPr="005F1255" w:rsidRDefault="002D5DDA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 - Quarterly</w:t>
            </w:r>
          </w:p>
        </w:tc>
      </w:tr>
      <w:tr w:rsidR="00EC39A9" w:rsidRPr="00351CCD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27C356B3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Regular reviews </w:t>
            </w:r>
            <w:r w:rsidR="00674D89" w:rsidRPr="005F1255">
              <w:rPr>
                <w:rFonts w:ascii="Lato" w:hAnsi="Lato"/>
                <w:sz w:val="22"/>
                <w:szCs w:val="22"/>
              </w:rPr>
              <w:t xml:space="preserve">with SMT &amp; Exec team </w:t>
            </w:r>
            <w:r w:rsidR="00C67B34" w:rsidRPr="005F1255">
              <w:rPr>
                <w:rFonts w:ascii="Lato" w:hAnsi="Lato"/>
                <w:sz w:val="22"/>
                <w:szCs w:val="22"/>
              </w:rPr>
              <w:t xml:space="preserve">for ensuring </w:t>
            </w:r>
            <w:r w:rsidR="009B7227" w:rsidRPr="005F1255">
              <w:rPr>
                <w:rFonts w:ascii="Lato" w:hAnsi="Lato"/>
                <w:sz w:val="22"/>
                <w:szCs w:val="22"/>
              </w:rPr>
              <w:t xml:space="preserve">this procedure being up to date in line with </w:t>
            </w:r>
            <w:r w:rsidR="000371A9" w:rsidRPr="005F1255">
              <w:rPr>
                <w:rFonts w:ascii="Lato" w:hAnsi="Lato"/>
                <w:sz w:val="22"/>
                <w:szCs w:val="22"/>
              </w:rPr>
              <w:t>legislative requirements and identified good practice.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5DA8D30C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Sue Clyne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0E03C5BA" w:rsidR="00EC39A9" w:rsidRPr="005F1255" w:rsidRDefault="002D5DDA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1F0615" w:rsidRPr="00351CCD" w14:paraId="74ADB106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125AD6A" w14:textId="759E4526" w:rsidR="001F0615" w:rsidRPr="005F1255" w:rsidRDefault="001F0615" w:rsidP="00EC39A9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Provide support and guidance to managers at early stage of attendance issues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0D7A84B7" w14:textId="590BBE06" w:rsidR="001F0615" w:rsidRPr="005F1255" w:rsidRDefault="001F0615" w:rsidP="00EC39A9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04225B7" w14:textId="45627FBF" w:rsidR="001F0615" w:rsidRPr="005F1255" w:rsidRDefault="002D5DDA" w:rsidP="00EC39A9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C39A9" w:rsidRPr="00351CCD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1B157BCD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Undertake a 3-yearly review of the </w:t>
            </w:r>
            <w:r w:rsidR="004611FD" w:rsidRPr="005F1255">
              <w:rPr>
                <w:rFonts w:ascii="Lato" w:hAnsi="Lato"/>
                <w:sz w:val="22"/>
                <w:szCs w:val="22"/>
              </w:rPr>
              <w:t>p</w:t>
            </w:r>
            <w:r w:rsidRPr="005F1255">
              <w:rPr>
                <w:rFonts w:ascii="Lato" w:hAnsi="Lato"/>
                <w:sz w:val="22"/>
                <w:szCs w:val="22"/>
              </w:rPr>
              <w:t>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377C0266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Sue Clyne (as part of the management/union group)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5583C4EC" w:rsidR="00EC39A9" w:rsidRPr="005F1255" w:rsidRDefault="002D5DDA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 – every 3 years</w:t>
            </w:r>
          </w:p>
        </w:tc>
      </w:tr>
      <w:tr w:rsidR="00EC39A9" w:rsidRPr="00351CCD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2B74C418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Distribute positive messages, on a regular basis, about the confidential support employees can access as and when needed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399399AC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Sue Clyne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7E59B619" w:rsidR="00EC39A9" w:rsidRPr="005F1255" w:rsidRDefault="005F1255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C39A9" w:rsidRPr="00351CCD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EC39A9" w:rsidRPr="0074577B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EC39A9" w:rsidRPr="0074577B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EC39A9" w:rsidRPr="0074577B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EC39A9" w:rsidRPr="00351CCD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435F2D2E" w:rsidR="00EC39A9" w:rsidRPr="0074577B" w:rsidRDefault="00EC39A9" w:rsidP="00EC39A9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Signature of Lead:    </w:t>
            </w:r>
            <w:r w:rsidRPr="0074577B">
              <w:rPr>
                <w:rFonts w:ascii="Lato" w:hAnsi="Lato"/>
                <w:sz w:val="22"/>
                <w:szCs w:val="22"/>
              </w:rPr>
              <w:tab/>
            </w:r>
            <w:r w:rsidR="005F1255" w:rsidRPr="0074170C">
              <w:rPr>
                <w:rFonts w:ascii="Lato" w:hAnsi="Lato"/>
                <w:noProof/>
              </w:rPr>
              <w:drawing>
                <wp:inline distT="0" distB="0" distL="0" distR="0" wp14:anchorId="2074D612" wp14:editId="3D453A7E">
                  <wp:extent cx="1380713" cy="332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77" cy="3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77B">
              <w:rPr>
                <w:rFonts w:ascii="Lato" w:hAnsi="Lato"/>
                <w:sz w:val="22"/>
                <w:szCs w:val="22"/>
              </w:rPr>
              <w:tab/>
            </w:r>
            <w:r w:rsidR="005F1255"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5F1255"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74577B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74577B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74577B" w:rsidRDefault="003E0686" w:rsidP="00F72963">
      <w:pPr>
        <w:spacing w:after="0"/>
        <w:rPr>
          <w:rFonts w:ascii="Lato" w:hAnsi="Lato"/>
          <w:sz w:val="16"/>
          <w:szCs w:val="16"/>
        </w:rPr>
      </w:pPr>
      <w:r w:rsidRPr="0074577B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74577B" w:rsidRDefault="003E0686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 xml:space="preserve">Please send the completed EIA record to </w:t>
      </w:r>
      <w:hyperlink r:id="rId13" w:history="1">
        <w:r w:rsidRPr="0074577B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74577B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74577B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 xml:space="preserve">review by </w:t>
      </w:r>
      <w:r w:rsidR="006611B4" w:rsidRPr="0074577B">
        <w:rPr>
          <w:rFonts w:ascii="Lato" w:hAnsi="Lato"/>
          <w:sz w:val="22"/>
          <w:szCs w:val="22"/>
        </w:rPr>
        <w:t>Qualit</w:t>
      </w:r>
      <w:r w:rsidR="00BB1C6B" w:rsidRPr="0074577B">
        <w:rPr>
          <w:rFonts w:ascii="Lato" w:hAnsi="Lato"/>
          <w:sz w:val="22"/>
          <w:szCs w:val="22"/>
        </w:rPr>
        <w:t>y</w:t>
      </w:r>
      <w:r w:rsidR="006611B4" w:rsidRPr="0074577B">
        <w:rPr>
          <w:rFonts w:ascii="Lato" w:hAnsi="Lato"/>
          <w:sz w:val="22"/>
          <w:szCs w:val="22"/>
        </w:rPr>
        <w:t xml:space="preserve"> and </w:t>
      </w:r>
      <w:r w:rsidR="00794BF3" w:rsidRPr="0074577B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74577B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74577B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351CCD" w14:paraId="2E41F7B4" w14:textId="77777777" w:rsidTr="1A0D4AB2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74577B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74577B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3183132B" w:rsidR="003E0686" w:rsidRPr="0074577B" w:rsidRDefault="1A0D4AB2" w:rsidP="1A0D4AB2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1A0D4AB2">
              <w:rPr>
                <w:rFonts w:ascii="Lato" w:hAnsi="Lato"/>
                <w:b/>
                <w:bCs/>
                <w:sz w:val="22"/>
                <w:szCs w:val="22"/>
              </w:rPr>
              <w:t>11 December 2024</w:t>
            </w:r>
          </w:p>
        </w:tc>
      </w:tr>
      <w:tr w:rsidR="006E0572" w:rsidRPr="00351CCD" w14:paraId="2B02488F" w14:textId="77777777" w:rsidTr="1A0D4AB2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74577B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112AB947" w:rsidR="006E0572" w:rsidRPr="0074577B" w:rsidRDefault="002E57BD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74577B" w:rsidRDefault="00E21817" w:rsidP="00F72963">
      <w:pPr>
        <w:spacing w:after="0"/>
        <w:rPr>
          <w:rFonts w:ascii="Lato" w:hAnsi="Lato"/>
          <w:sz w:val="22"/>
          <w:szCs w:val="22"/>
        </w:rPr>
      </w:pPr>
      <w:bookmarkStart w:id="0" w:name="_GoBack"/>
      <w:bookmarkEnd w:id="0"/>
    </w:p>
    <w:sectPr w:rsidR="00E21817" w:rsidRPr="0074577B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F5F8E" w14:textId="77777777" w:rsidR="00E4369B" w:rsidRDefault="00E4369B" w:rsidP="00EC6BAC">
      <w:pPr>
        <w:spacing w:after="0" w:line="240" w:lineRule="auto"/>
      </w:pPr>
      <w:r>
        <w:separator/>
      </w:r>
    </w:p>
  </w:endnote>
  <w:endnote w:type="continuationSeparator" w:id="0">
    <w:p w14:paraId="159F0B0D" w14:textId="77777777" w:rsidR="00E4369B" w:rsidRDefault="00E4369B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2E57BD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6D69" w14:textId="77777777" w:rsidR="00E4369B" w:rsidRDefault="00E4369B" w:rsidP="00EC6BAC">
      <w:pPr>
        <w:spacing w:after="0" w:line="240" w:lineRule="auto"/>
      </w:pPr>
      <w:r>
        <w:separator/>
      </w:r>
    </w:p>
  </w:footnote>
  <w:footnote w:type="continuationSeparator" w:id="0">
    <w:p w14:paraId="67E7387B" w14:textId="77777777" w:rsidR="00E4369B" w:rsidRDefault="00E4369B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31DB2"/>
    <w:multiLevelType w:val="multilevel"/>
    <w:tmpl w:val="FFFFFFFF"/>
    <w:lvl w:ilvl="0">
      <w:start w:val="1"/>
      <w:numFmt w:val="decimal"/>
      <w:lvlText w:val="%1."/>
      <w:lvlJc w:val="left"/>
      <w:pPr>
        <w:ind w:left="1382" w:hanging="622"/>
      </w:pPr>
      <w:rPr>
        <w:rFonts w:ascii="Tahoma" w:eastAsia="Tahoma" w:hAnsi="Tahoma" w:cs="Tahoma" w:hint="default"/>
        <w:b w:val="0"/>
        <w:bCs w:val="0"/>
        <w:i w:val="0"/>
        <w:iCs w:val="0"/>
        <w:color w:val="002F78"/>
        <w:spacing w:val="-1"/>
        <w:w w:val="96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78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2" w:hanging="7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5"/>
        <w:w w:val="78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165A"/>
    <w:multiLevelType w:val="hybridMultilevel"/>
    <w:tmpl w:val="37669634"/>
    <w:lvl w:ilvl="0" w:tplc="C1E28F8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3406B"/>
    <w:rsid w:val="000371A9"/>
    <w:rsid w:val="00040BAC"/>
    <w:rsid w:val="00045529"/>
    <w:rsid w:val="00046FB6"/>
    <w:rsid w:val="00051B0F"/>
    <w:rsid w:val="00061ECF"/>
    <w:rsid w:val="00073106"/>
    <w:rsid w:val="0008211F"/>
    <w:rsid w:val="00085A41"/>
    <w:rsid w:val="00090CE9"/>
    <w:rsid w:val="00092415"/>
    <w:rsid w:val="0009275B"/>
    <w:rsid w:val="000A181E"/>
    <w:rsid w:val="000A2732"/>
    <w:rsid w:val="000A2B52"/>
    <w:rsid w:val="000B4262"/>
    <w:rsid w:val="000B7095"/>
    <w:rsid w:val="000C7526"/>
    <w:rsid w:val="000D165C"/>
    <w:rsid w:val="000D32DE"/>
    <w:rsid w:val="000D7B4B"/>
    <w:rsid w:val="00106EAB"/>
    <w:rsid w:val="00112679"/>
    <w:rsid w:val="001133B2"/>
    <w:rsid w:val="00113E60"/>
    <w:rsid w:val="0012152C"/>
    <w:rsid w:val="00132768"/>
    <w:rsid w:val="00133C48"/>
    <w:rsid w:val="00144440"/>
    <w:rsid w:val="00153782"/>
    <w:rsid w:val="00160357"/>
    <w:rsid w:val="00166A92"/>
    <w:rsid w:val="00174EC8"/>
    <w:rsid w:val="001758AA"/>
    <w:rsid w:val="00175CB7"/>
    <w:rsid w:val="001812C7"/>
    <w:rsid w:val="001828C8"/>
    <w:rsid w:val="001832E8"/>
    <w:rsid w:val="001845F7"/>
    <w:rsid w:val="00194857"/>
    <w:rsid w:val="001B75BB"/>
    <w:rsid w:val="001C0E96"/>
    <w:rsid w:val="001C5461"/>
    <w:rsid w:val="001C771A"/>
    <w:rsid w:val="001D31B4"/>
    <w:rsid w:val="001D39E6"/>
    <w:rsid w:val="001E121F"/>
    <w:rsid w:val="001E73F1"/>
    <w:rsid w:val="001E7F45"/>
    <w:rsid w:val="001F0615"/>
    <w:rsid w:val="00202247"/>
    <w:rsid w:val="002074B0"/>
    <w:rsid w:val="00211D20"/>
    <w:rsid w:val="00216CE3"/>
    <w:rsid w:val="0021774A"/>
    <w:rsid w:val="00236EF7"/>
    <w:rsid w:val="00250155"/>
    <w:rsid w:val="002509A7"/>
    <w:rsid w:val="002512D0"/>
    <w:rsid w:val="0025142A"/>
    <w:rsid w:val="0026100E"/>
    <w:rsid w:val="00262B9B"/>
    <w:rsid w:val="0027399A"/>
    <w:rsid w:val="002742E1"/>
    <w:rsid w:val="002A21A0"/>
    <w:rsid w:val="002A3745"/>
    <w:rsid w:val="002B33E5"/>
    <w:rsid w:val="002B3744"/>
    <w:rsid w:val="002D57F4"/>
    <w:rsid w:val="002D5DDA"/>
    <w:rsid w:val="002E57BD"/>
    <w:rsid w:val="002F31D7"/>
    <w:rsid w:val="002F6BC8"/>
    <w:rsid w:val="002F7099"/>
    <w:rsid w:val="00310F40"/>
    <w:rsid w:val="00321C45"/>
    <w:rsid w:val="00323A6A"/>
    <w:rsid w:val="00325293"/>
    <w:rsid w:val="00331C19"/>
    <w:rsid w:val="00337760"/>
    <w:rsid w:val="00340898"/>
    <w:rsid w:val="00343996"/>
    <w:rsid w:val="00344730"/>
    <w:rsid w:val="00345E3E"/>
    <w:rsid w:val="00347AED"/>
    <w:rsid w:val="0035084D"/>
    <w:rsid w:val="00351CCD"/>
    <w:rsid w:val="00371155"/>
    <w:rsid w:val="003714EC"/>
    <w:rsid w:val="003747D2"/>
    <w:rsid w:val="00383A03"/>
    <w:rsid w:val="00395271"/>
    <w:rsid w:val="003A76BF"/>
    <w:rsid w:val="003B3F27"/>
    <w:rsid w:val="003B4171"/>
    <w:rsid w:val="003B5621"/>
    <w:rsid w:val="003C2BC3"/>
    <w:rsid w:val="003E0686"/>
    <w:rsid w:val="003E3068"/>
    <w:rsid w:val="003E6F36"/>
    <w:rsid w:val="003E723B"/>
    <w:rsid w:val="003F0ADA"/>
    <w:rsid w:val="003F16C5"/>
    <w:rsid w:val="003F4CB6"/>
    <w:rsid w:val="003F702E"/>
    <w:rsid w:val="00400A96"/>
    <w:rsid w:val="00400E09"/>
    <w:rsid w:val="00404A4A"/>
    <w:rsid w:val="00405C44"/>
    <w:rsid w:val="004067FB"/>
    <w:rsid w:val="00410ECC"/>
    <w:rsid w:val="00411884"/>
    <w:rsid w:val="0041433B"/>
    <w:rsid w:val="004175D0"/>
    <w:rsid w:val="0043183F"/>
    <w:rsid w:val="00436FC9"/>
    <w:rsid w:val="00446896"/>
    <w:rsid w:val="0044724F"/>
    <w:rsid w:val="00461020"/>
    <w:rsid w:val="004611FD"/>
    <w:rsid w:val="00463E98"/>
    <w:rsid w:val="00473F86"/>
    <w:rsid w:val="00477857"/>
    <w:rsid w:val="00483B7F"/>
    <w:rsid w:val="004927CF"/>
    <w:rsid w:val="0049436B"/>
    <w:rsid w:val="004950A8"/>
    <w:rsid w:val="004A08E7"/>
    <w:rsid w:val="004A3257"/>
    <w:rsid w:val="004A4F3F"/>
    <w:rsid w:val="004A7B9E"/>
    <w:rsid w:val="004B3B6D"/>
    <w:rsid w:val="004C119F"/>
    <w:rsid w:val="004C50CC"/>
    <w:rsid w:val="004C727B"/>
    <w:rsid w:val="004D513D"/>
    <w:rsid w:val="004D7C92"/>
    <w:rsid w:val="004E2AB0"/>
    <w:rsid w:val="004E5274"/>
    <w:rsid w:val="005067A3"/>
    <w:rsid w:val="005215CF"/>
    <w:rsid w:val="0052493B"/>
    <w:rsid w:val="0053368B"/>
    <w:rsid w:val="00545FA5"/>
    <w:rsid w:val="00551062"/>
    <w:rsid w:val="00551F52"/>
    <w:rsid w:val="00562A05"/>
    <w:rsid w:val="00566710"/>
    <w:rsid w:val="00587CA2"/>
    <w:rsid w:val="00590127"/>
    <w:rsid w:val="005950BA"/>
    <w:rsid w:val="005A5B26"/>
    <w:rsid w:val="005B2EA3"/>
    <w:rsid w:val="005B50FA"/>
    <w:rsid w:val="005B6804"/>
    <w:rsid w:val="005C1F2A"/>
    <w:rsid w:val="005C2CD1"/>
    <w:rsid w:val="005D06C2"/>
    <w:rsid w:val="005D405A"/>
    <w:rsid w:val="005E2E3B"/>
    <w:rsid w:val="005E5272"/>
    <w:rsid w:val="005E715E"/>
    <w:rsid w:val="005F1255"/>
    <w:rsid w:val="005F4827"/>
    <w:rsid w:val="00602267"/>
    <w:rsid w:val="00610DC7"/>
    <w:rsid w:val="006121B4"/>
    <w:rsid w:val="0061726E"/>
    <w:rsid w:val="00617783"/>
    <w:rsid w:val="0062032F"/>
    <w:rsid w:val="006254F8"/>
    <w:rsid w:val="00633C01"/>
    <w:rsid w:val="00634052"/>
    <w:rsid w:val="00634366"/>
    <w:rsid w:val="00637B29"/>
    <w:rsid w:val="0064470F"/>
    <w:rsid w:val="00650DAA"/>
    <w:rsid w:val="00656F1C"/>
    <w:rsid w:val="006611B4"/>
    <w:rsid w:val="0066419E"/>
    <w:rsid w:val="00670940"/>
    <w:rsid w:val="00674D89"/>
    <w:rsid w:val="00675548"/>
    <w:rsid w:val="00682A31"/>
    <w:rsid w:val="006845D3"/>
    <w:rsid w:val="00692E21"/>
    <w:rsid w:val="00694650"/>
    <w:rsid w:val="006B3A69"/>
    <w:rsid w:val="006B7E5C"/>
    <w:rsid w:val="006C2AFC"/>
    <w:rsid w:val="006D0B08"/>
    <w:rsid w:val="006D3F43"/>
    <w:rsid w:val="006E0572"/>
    <w:rsid w:val="006E75A6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20FE8"/>
    <w:rsid w:val="007246FF"/>
    <w:rsid w:val="00726620"/>
    <w:rsid w:val="0074055E"/>
    <w:rsid w:val="0074577B"/>
    <w:rsid w:val="0077004D"/>
    <w:rsid w:val="00773E8C"/>
    <w:rsid w:val="00774188"/>
    <w:rsid w:val="007767F6"/>
    <w:rsid w:val="00777B45"/>
    <w:rsid w:val="00777F52"/>
    <w:rsid w:val="00783596"/>
    <w:rsid w:val="00792882"/>
    <w:rsid w:val="00794BF3"/>
    <w:rsid w:val="00795D1E"/>
    <w:rsid w:val="0079621C"/>
    <w:rsid w:val="00797058"/>
    <w:rsid w:val="007A0922"/>
    <w:rsid w:val="007A44BC"/>
    <w:rsid w:val="007A4CE4"/>
    <w:rsid w:val="007A72E3"/>
    <w:rsid w:val="007B4F24"/>
    <w:rsid w:val="007B7784"/>
    <w:rsid w:val="007C0549"/>
    <w:rsid w:val="007C1F96"/>
    <w:rsid w:val="007E21BB"/>
    <w:rsid w:val="007E3A29"/>
    <w:rsid w:val="007F24AD"/>
    <w:rsid w:val="008048E9"/>
    <w:rsid w:val="00810BFD"/>
    <w:rsid w:val="00814497"/>
    <w:rsid w:val="00821746"/>
    <w:rsid w:val="00836A55"/>
    <w:rsid w:val="0084757F"/>
    <w:rsid w:val="00850631"/>
    <w:rsid w:val="00851AC2"/>
    <w:rsid w:val="0085243E"/>
    <w:rsid w:val="00876F32"/>
    <w:rsid w:val="00877049"/>
    <w:rsid w:val="0087788C"/>
    <w:rsid w:val="0089137F"/>
    <w:rsid w:val="008A5BD0"/>
    <w:rsid w:val="008A6E3F"/>
    <w:rsid w:val="008B469B"/>
    <w:rsid w:val="008B783F"/>
    <w:rsid w:val="008C0D86"/>
    <w:rsid w:val="008C6AD7"/>
    <w:rsid w:val="008D5F9D"/>
    <w:rsid w:val="008E0C3F"/>
    <w:rsid w:val="008F0BB8"/>
    <w:rsid w:val="008F1444"/>
    <w:rsid w:val="008F2889"/>
    <w:rsid w:val="00911BB5"/>
    <w:rsid w:val="0091247F"/>
    <w:rsid w:val="0091480F"/>
    <w:rsid w:val="009229D8"/>
    <w:rsid w:val="00925332"/>
    <w:rsid w:val="00930FB7"/>
    <w:rsid w:val="00935DF2"/>
    <w:rsid w:val="00936920"/>
    <w:rsid w:val="009434D9"/>
    <w:rsid w:val="00943B03"/>
    <w:rsid w:val="00944E38"/>
    <w:rsid w:val="00946425"/>
    <w:rsid w:val="00954388"/>
    <w:rsid w:val="00955897"/>
    <w:rsid w:val="00957B71"/>
    <w:rsid w:val="0096472E"/>
    <w:rsid w:val="00965E58"/>
    <w:rsid w:val="009748F9"/>
    <w:rsid w:val="00975FB4"/>
    <w:rsid w:val="00976A7A"/>
    <w:rsid w:val="00976D87"/>
    <w:rsid w:val="009770BB"/>
    <w:rsid w:val="00995163"/>
    <w:rsid w:val="009975A9"/>
    <w:rsid w:val="009A29B8"/>
    <w:rsid w:val="009A3D54"/>
    <w:rsid w:val="009A6C9A"/>
    <w:rsid w:val="009A7D81"/>
    <w:rsid w:val="009B7227"/>
    <w:rsid w:val="009B759A"/>
    <w:rsid w:val="009C196E"/>
    <w:rsid w:val="009C5AF9"/>
    <w:rsid w:val="009C7F64"/>
    <w:rsid w:val="009C7FC1"/>
    <w:rsid w:val="009D46E0"/>
    <w:rsid w:val="009D49E6"/>
    <w:rsid w:val="009D55A4"/>
    <w:rsid w:val="009D7A0F"/>
    <w:rsid w:val="009D7A8C"/>
    <w:rsid w:val="009D7F1F"/>
    <w:rsid w:val="009F6A82"/>
    <w:rsid w:val="00A072C3"/>
    <w:rsid w:val="00A21CC3"/>
    <w:rsid w:val="00A22B97"/>
    <w:rsid w:val="00A35ECD"/>
    <w:rsid w:val="00A42814"/>
    <w:rsid w:val="00A440C4"/>
    <w:rsid w:val="00A44C87"/>
    <w:rsid w:val="00A46D23"/>
    <w:rsid w:val="00A53233"/>
    <w:rsid w:val="00A535BD"/>
    <w:rsid w:val="00A64B24"/>
    <w:rsid w:val="00A87AD1"/>
    <w:rsid w:val="00AA7470"/>
    <w:rsid w:val="00AB0063"/>
    <w:rsid w:val="00AB08C1"/>
    <w:rsid w:val="00AB52AD"/>
    <w:rsid w:val="00AC06CE"/>
    <w:rsid w:val="00AC1FF2"/>
    <w:rsid w:val="00AC2C10"/>
    <w:rsid w:val="00AD3F42"/>
    <w:rsid w:val="00AD4CAC"/>
    <w:rsid w:val="00AD755A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213FD"/>
    <w:rsid w:val="00B23127"/>
    <w:rsid w:val="00B5370D"/>
    <w:rsid w:val="00B55180"/>
    <w:rsid w:val="00B57100"/>
    <w:rsid w:val="00B62096"/>
    <w:rsid w:val="00B661F5"/>
    <w:rsid w:val="00B805BB"/>
    <w:rsid w:val="00B82F88"/>
    <w:rsid w:val="00B8537C"/>
    <w:rsid w:val="00B94D76"/>
    <w:rsid w:val="00B96E22"/>
    <w:rsid w:val="00BA4E2A"/>
    <w:rsid w:val="00BB1C6B"/>
    <w:rsid w:val="00BB1DC1"/>
    <w:rsid w:val="00BC2C13"/>
    <w:rsid w:val="00BC31F3"/>
    <w:rsid w:val="00BC69D9"/>
    <w:rsid w:val="00BD0CF6"/>
    <w:rsid w:val="00BD1854"/>
    <w:rsid w:val="00BE355E"/>
    <w:rsid w:val="00BF16DD"/>
    <w:rsid w:val="00BF68C8"/>
    <w:rsid w:val="00C01DA1"/>
    <w:rsid w:val="00C01ECF"/>
    <w:rsid w:val="00C0227D"/>
    <w:rsid w:val="00C026A8"/>
    <w:rsid w:val="00C05A1A"/>
    <w:rsid w:val="00C063B5"/>
    <w:rsid w:val="00C07BE4"/>
    <w:rsid w:val="00C16EFC"/>
    <w:rsid w:val="00C203A8"/>
    <w:rsid w:val="00C230DE"/>
    <w:rsid w:val="00C2651E"/>
    <w:rsid w:val="00C32CF8"/>
    <w:rsid w:val="00C373C1"/>
    <w:rsid w:val="00C42163"/>
    <w:rsid w:val="00C45FAC"/>
    <w:rsid w:val="00C47DFD"/>
    <w:rsid w:val="00C51C24"/>
    <w:rsid w:val="00C5569E"/>
    <w:rsid w:val="00C57CA8"/>
    <w:rsid w:val="00C60AC2"/>
    <w:rsid w:val="00C61BAA"/>
    <w:rsid w:val="00C67B34"/>
    <w:rsid w:val="00C76212"/>
    <w:rsid w:val="00C77408"/>
    <w:rsid w:val="00C81A1C"/>
    <w:rsid w:val="00C85426"/>
    <w:rsid w:val="00C91BE9"/>
    <w:rsid w:val="00C9206B"/>
    <w:rsid w:val="00C96FE3"/>
    <w:rsid w:val="00C97E70"/>
    <w:rsid w:val="00CA1013"/>
    <w:rsid w:val="00CB577B"/>
    <w:rsid w:val="00CC15A8"/>
    <w:rsid w:val="00CC4C79"/>
    <w:rsid w:val="00CD1667"/>
    <w:rsid w:val="00CE01C1"/>
    <w:rsid w:val="00CE5D94"/>
    <w:rsid w:val="00CF30E8"/>
    <w:rsid w:val="00D11803"/>
    <w:rsid w:val="00D12B5A"/>
    <w:rsid w:val="00D21B3B"/>
    <w:rsid w:val="00D234C4"/>
    <w:rsid w:val="00D4282E"/>
    <w:rsid w:val="00D42C7B"/>
    <w:rsid w:val="00D4581D"/>
    <w:rsid w:val="00D45BAF"/>
    <w:rsid w:val="00D46B48"/>
    <w:rsid w:val="00D534BE"/>
    <w:rsid w:val="00D56CEC"/>
    <w:rsid w:val="00D605DD"/>
    <w:rsid w:val="00D60C67"/>
    <w:rsid w:val="00D612B4"/>
    <w:rsid w:val="00D73F3C"/>
    <w:rsid w:val="00D75C8B"/>
    <w:rsid w:val="00D77EBC"/>
    <w:rsid w:val="00D8237D"/>
    <w:rsid w:val="00DA6FC9"/>
    <w:rsid w:val="00DB19B6"/>
    <w:rsid w:val="00DB3363"/>
    <w:rsid w:val="00DB3B32"/>
    <w:rsid w:val="00DB400B"/>
    <w:rsid w:val="00DB4EBC"/>
    <w:rsid w:val="00DB7C35"/>
    <w:rsid w:val="00DD0AA1"/>
    <w:rsid w:val="00DD267E"/>
    <w:rsid w:val="00DD3C8C"/>
    <w:rsid w:val="00DD7B32"/>
    <w:rsid w:val="00DE6D25"/>
    <w:rsid w:val="00DF32DC"/>
    <w:rsid w:val="00DF5C73"/>
    <w:rsid w:val="00E00BB0"/>
    <w:rsid w:val="00E061D9"/>
    <w:rsid w:val="00E16238"/>
    <w:rsid w:val="00E21817"/>
    <w:rsid w:val="00E26F79"/>
    <w:rsid w:val="00E304A7"/>
    <w:rsid w:val="00E35752"/>
    <w:rsid w:val="00E4369B"/>
    <w:rsid w:val="00E54410"/>
    <w:rsid w:val="00E545F9"/>
    <w:rsid w:val="00E57033"/>
    <w:rsid w:val="00E60538"/>
    <w:rsid w:val="00E61161"/>
    <w:rsid w:val="00E6246B"/>
    <w:rsid w:val="00E70EC9"/>
    <w:rsid w:val="00E73AAF"/>
    <w:rsid w:val="00E818AB"/>
    <w:rsid w:val="00E84DA6"/>
    <w:rsid w:val="00E900AA"/>
    <w:rsid w:val="00E91C65"/>
    <w:rsid w:val="00E9760D"/>
    <w:rsid w:val="00EA35B2"/>
    <w:rsid w:val="00EA7E7F"/>
    <w:rsid w:val="00EB2738"/>
    <w:rsid w:val="00EB7106"/>
    <w:rsid w:val="00EC1A85"/>
    <w:rsid w:val="00EC39A9"/>
    <w:rsid w:val="00EC4E61"/>
    <w:rsid w:val="00EC6BAC"/>
    <w:rsid w:val="00ED2A8F"/>
    <w:rsid w:val="00ED3BF7"/>
    <w:rsid w:val="00ED6941"/>
    <w:rsid w:val="00EE037F"/>
    <w:rsid w:val="00EF0CCC"/>
    <w:rsid w:val="00EF1AAD"/>
    <w:rsid w:val="00F008AF"/>
    <w:rsid w:val="00F00B4F"/>
    <w:rsid w:val="00F01FE0"/>
    <w:rsid w:val="00F030DB"/>
    <w:rsid w:val="00F077DE"/>
    <w:rsid w:val="00F154F9"/>
    <w:rsid w:val="00F17024"/>
    <w:rsid w:val="00F174F9"/>
    <w:rsid w:val="00F300D7"/>
    <w:rsid w:val="00F3789B"/>
    <w:rsid w:val="00F42F8E"/>
    <w:rsid w:val="00F44578"/>
    <w:rsid w:val="00F45E39"/>
    <w:rsid w:val="00F50891"/>
    <w:rsid w:val="00F63316"/>
    <w:rsid w:val="00F665CB"/>
    <w:rsid w:val="00F70D37"/>
    <w:rsid w:val="00F7144E"/>
    <w:rsid w:val="00F72963"/>
    <w:rsid w:val="00F735E2"/>
    <w:rsid w:val="00F853FE"/>
    <w:rsid w:val="00FB5799"/>
    <w:rsid w:val="00FB7135"/>
    <w:rsid w:val="00FC50F2"/>
    <w:rsid w:val="00FC6575"/>
    <w:rsid w:val="00FD1DD8"/>
    <w:rsid w:val="00FD4016"/>
    <w:rsid w:val="00FD7DE7"/>
    <w:rsid w:val="00FE3845"/>
    <w:rsid w:val="00FE4099"/>
    <w:rsid w:val="00FE465C"/>
    <w:rsid w:val="00FF63B0"/>
    <w:rsid w:val="0B0939EC"/>
    <w:rsid w:val="1A0D4AB2"/>
    <w:rsid w:val="246D778A"/>
    <w:rsid w:val="2E4FA9E1"/>
    <w:rsid w:val="314E2DB4"/>
    <w:rsid w:val="76C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6F32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4B007D"/>
    <w:rsid w:val="00525937"/>
    <w:rsid w:val="006F713F"/>
    <w:rsid w:val="00711AD9"/>
    <w:rsid w:val="0077369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0DC9-4856-43A5-96D1-0CEBF6C324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64e5800-79ef-404e-ae0f-2769dfe91c1e"/>
    <ds:schemaRef ds:uri="4babdd36-4016-4489-ad5f-14df8cd2a9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5D49A-2771-4E73-AB56-09F66FDD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865AD-6A6D-4A0E-9CD0-EAB3247C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Susan Inglis</dc:creator>
  <cp:lastModifiedBy>Nina Munday</cp:lastModifiedBy>
  <cp:revision>3</cp:revision>
  <cp:lastPrinted>2015-09-28T10:56:00Z</cp:lastPrinted>
  <dcterms:created xsi:type="dcterms:W3CDTF">2025-03-11T15:24:00Z</dcterms:created>
  <dcterms:modified xsi:type="dcterms:W3CDTF">2025-03-11T16:39:00Z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