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F1E6" w14:textId="77777777" w:rsidR="007D37EF" w:rsidRDefault="007D37EF"/>
    <w:p w14:paraId="0DF6B796" w14:textId="77777777" w:rsidR="007D37EF" w:rsidRDefault="007D37EF" w:rsidP="007D37EF">
      <w:pPr>
        <w:jc w:val="right"/>
      </w:pPr>
    </w:p>
    <w:p w14:paraId="4CED9D5B" w14:textId="77777777" w:rsidR="007D37EF" w:rsidRDefault="006F1E23" w:rsidP="006F1E23">
      <w:pPr>
        <w:ind w:left="6480" w:firstLine="72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777C8D26" wp14:editId="003FE35E">
            <wp:extent cx="1670685" cy="792480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A77CF" w14:textId="77777777" w:rsidR="007D37EF" w:rsidRDefault="007D37EF" w:rsidP="007D37EF">
      <w:pPr>
        <w:jc w:val="center"/>
        <w:rPr>
          <w:b/>
          <w:sz w:val="72"/>
          <w:szCs w:val="72"/>
        </w:rPr>
      </w:pPr>
    </w:p>
    <w:p w14:paraId="5693328A" w14:textId="77777777" w:rsidR="007D37EF" w:rsidRDefault="007D37EF" w:rsidP="007D37EF">
      <w:pPr>
        <w:jc w:val="center"/>
        <w:rPr>
          <w:b/>
          <w:sz w:val="72"/>
          <w:szCs w:val="72"/>
        </w:rPr>
      </w:pPr>
    </w:p>
    <w:p w14:paraId="6806B903" w14:textId="77777777" w:rsidR="007D37EF" w:rsidRDefault="007D37EF" w:rsidP="007D37EF">
      <w:pPr>
        <w:jc w:val="center"/>
        <w:rPr>
          <w:b/>
          <w:sz w:val="72"/>
          <w:szCs w:val="72"/>
        </w:rPr>
      </w:pPr>
    </w:p>
    <w:p w14:paraId="64F4A2F8" w14:textId="77777777" w:rsidR="007D37EF" w:rsidRDefault="007D37EF" w:rsidP="00840513">
      <w:pPr>
        <w:jc w:val="center"/>
        <w:rPr>
          <w:b/>
          <w:sz w:val="72"/>
          <w:szCs w:val="72"/>
        </w:rPr>
      </w:pPr>
      <w:r w:rsidRPr="00D1453E">
        <w:rPr>
          <w:b/>
          <w:sz w:val="72"/>
          <w:szCs w:val="72"/>
        </w:rPr>
        <w:t xml:space="preserve">Complaints Handling </w:t>
      </w:r>
      <w:r w:rsidR="00840513">
        <w:rPr>
          <w:b/>
          <w:sz w:val="72"/>
          <w:szCs w:val="72"/>
        </w:rPr>
        <w:t>Quarter</w:t>
      </w:r>
      <w:r w:rsidR="005070D1">
        <w:rPr>
          <w:b/>
          <w:sz w:val="72"/>
          <w:szCs w:val="72"/>
        </w:rPr>
        <w:t xml:space="preserve"> 1</w:t>
      </w:r>
      <w:r w:rsidR="00840513">
        <w:rPr>
          <w:b/>
          <w:sz w:val="72"/>
          <w:szCs w:val="72"/>
        </w:rPr>
        <w:t xml:space="preserve"> Report</w:t>
      </w:r>
    </w:p>
    <w:p w14:paraId="181D001A" w14:textId="77777777" w:rsidR="007D37EF" w:rsidRDefault="007D37EF" w:rsidP="007D37EF">
      <w:pPr>
        <w:jc w:val="center"/>
      </w:pPr>
    </w:p>
    <w:p w14:paraId="2B99B086" w14:textId="77777777" w:rsidR="007D37EF" w:rsidRDefault="007D37EF" w:rsidP="007D37EF">
      <w:pPr>
        <w:jc w:val="center"/>
      </w:pPr>
    </w:p>
    <w:p w14:paraId="4215DEAB" w14:textId="77777777" w:rsidR="007D37EF" w:rsidRDefault="007D37EF" w:rsidP="007D37EF">
      <w:pPr>
        <w:jc w:val="center"/>
      </w:pPr>
    </w:p>
    <w:p w14:paraId="5C0C25BA" w14:textId="77777777" w:rsidR="007D37EF" w:rsidRDefault="007D37EF" w:rsidP="007D37EF">
      <w:pPr>
        <w:jc w:val="center"/>
      </w:pPr>
    </w:p>
    <w:p w14:paraId="59104814" w14:textId="77777777" w:rsidR="007D37EF" w:rsidRDefault="007D37EF" w:rsidP="007D37EF">
      <w:pPr>
        <w:jc w:val="center"/>
      </w:pPr>
    </w:p>
    <w:p w14:paraId="60AA1C9A" w14:textId="77777777" w:rsidR="007D37EF" w:rsidRDefault="007D37EF" w:rsidP="007D37EF">
      <w:pPr>
        <w:jc w:val="center"/>
      </w:pPr>
    </w:p>
    <w:p w14:paraId="79182B04" w14:textId="77777777" w:rsidR="007D37EF" w:rsidRDefault="007D37EF" w:rsidP="007D37EF">
      <w:pPr>
        <w:jc w:val="center"/>
      </w:pPr>
    </w:p>
    <w:p w14:paraId="2F3727F3" w14:textId="77777777" w:rsidR="007D37EF" w:rsidRDefault="007D37EF" w:rsidP="007D37EF">
      <w:pPr>
        <w:jc w:val="center"/>
      </w:pPr>
    </w:p>
    <w:p w14:paraId="7204538A" w14:textId="77777777" w:rsidR="007D37EF" w:rsidRDefault="007D37EF" w:rsidP="007D37EF">
      <w:pPr>
        <w:jc w:val="center"/>
      </w:pPr>
    </w:p>
    <w:p w14:paraId="2B05D32A" w14:textId="77777777" w:rsidR="007D37EF" w:rsidRDefault="007D37EF" w:rsidP="007D37EF">
      <w:pPr>
        <w:jc w:val="center"/>
      </w:pPr>
    </w:p>
    <w:p w14:paraId="1982B9D1" w14:textId="77777777" w:rsidR="007D37EF" w:rsidRDefault="007D37EF" w:rsidP="007D37EF">
      <w:pPr>
        <w:jc w:val="center"/>
      </w:pPr>
    </w:p>
    <w:p w14:paraId="471F4C4F" w14:textId="77777777" w:rsidR="007D37EF" w:rsidRDefault="007D37EF" w:rsidP="007D37EF">
      <w:pPr>
        <w:jc w:val="center"/>
      </w:pPr>
    </w:p>
    <w:p w14:paraId="16BF542F" w14:textId="77777777" w:rsidR="007D37EF" w:rsidRDefault="007D37EF" w:rsidP="007D37EF">
      <w:pPr>
        <w:jc w:val="center"/>
      </w:pPr>
    </w:p>
    <w:p w14:paraId="450D4E9D" w14:textId="2ADEA6D2" w:rsidR="008B752B" w:rsidRDefault="00840513" w:rsidP="007D37E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August – October </w:t>
      </w:r>
      <w:r w:rsidR="007D37EF" w:rsidRPr="005F6A68">
        <w:rPr>
          <w:b/>
          <w:sz w:val="48"/>
          <w:szCs w:val="48"/>
        </w:rPr>
        <w:t>202</w:t>
      </w:r>
      <w:r w:rsidR="008B752B">
        <w:rPr>
          <w:b/>
          <w:sz w:val="48"/>
          <w:szCs w:val="48"/>
        </w:rPr>
        <w:t>5</w:t>
      </w:r>
    </w:p>
    <w:p w14:paraId="2A8DB813" w14:textId="77777777" w:rsidR="007D37EF" w:rsidRDefault="007D37EF" w:rsidP="007D37EF">
      <w:pPr>
        <w:jc w:val="center"/>
      </w:pPr>
    </w:p>
    <w:p w14:paraId="19DB7EFB" w14:textId="77777777" w:rsidR="007D37EF" w:rsidRDefault="007D37EF" w:rsidP="007D37EF">
      <w:pPr>
        <w:jc w:val="center"/>
      </w:pPr>
    </w:p>
    <w:p w14:paraId="14A32101" w14:textId="77777777" w:rsidR="007D37EF" w:rsidRDefault="007D37EF" w:rsidP="007D37EF">
      <w:pPr>
        <w:jc w:val="center"/>
      </w:pPr>
    </w:p>
    <w:p w14:paraId="5135D138" w14:textId="77777777" w:rsidR="00D1453E" w:rsidRDefault="00D1453E">
      <w:pPr>
        <w:sectPr w:rsidR="00D1453E" w:rsidSect="00156C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37" w:footer="737" w:gutter="0"/>
          <w:cols w:space="708"/>
          <w:docGrid w:linePitch="360"/>
        </w:sectPr>
      </w:pPr>
    </w:p>
    <w:p w14:paraId="18A8317B" w14:textId="77777777" w:rsidR="00D1453E" w:rsidRPr="003A12D9" w:rsidRDefault="00F15CF9" w:rsidP="003A12D9">
      <w:pPr>
        <w:rPr>
          <w:b/>
          <w:color w:val="852B45"/>
          <w:sz w:val="32"/>
          <w:szCs w:val="32"/>
        </w:rPr>
      </w:pPr>
      <w:r w:rsidRPr="003A12D9">
        <w:rPr>
          <w:b/>
          <w:color w:val="852B45"/>
          <w:sz w:val="32"/>
          <w:szCs w:val="32"/>
        </w:rPr>
        <w:lastRenderedPageBreak/>
        <w:t>Contents</w:t>
      </w:r>
    </w:p>
    <w:p w14:paraId="077EF0E3" w14:textId="77777777" w:rsidR="003A12D9" w:rsidRPr="003A12D9" w:rsidRDefault="003A12D9" w:rsidP="003A12D9"/>
    <w:p w14:paraId="2BEBE698" w14:textId="77777777" w:rsidR="005E05D4" w:rsidRDefault="003C2605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49811894" w:history="1">
        <w:r w:rsidR="005E05D4" w:rsidRPr="00E3345A">
          <w:rPr>
            <w:rStyle w:val="Hyperlink"/>
            <w:noProof/>
          </w:rPr>
          <w:t>Indicator 1:  Total number of complaints received at Stages 1 &amp; 2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_Toc149811894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14:paraId="13FA1C8E" w14:textId="77777777" w:rsidR="005E05D4" w:rsidRDefault="0031220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5" w:history="1">
        <w:r w:rsidR="005E05D4" w:rsidRPr="00E3345A">
          <w:rPr>
            <w:rStyle w:val="Hyperlink"/>
            <w:noProof/>
          </w:rPr>
          <w:t>Indicator 2:  The number and percentage of complaints at each stage which were closed within the set timescales of 5 &amp; 20 working days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_Toc149811895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14:paraId="7D262410" w14:textId="77777777" w:rsidR="005E05D4" w:rsidRDefault="0031220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6" w:history="1">
        <w:r w:rsidR="005E05D4" w:rsidRPr="00E3345A">
          <w:rPr>
            <w:rStyle w:val="Hyperlink"/>
            <w:noProof/>
          </w:rPr>
          <w:t>Indicator 3: The average time in working days for a full response to complaints at each stage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_Toc149811896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14:paraId="3B4267A8" w14:textId="77777777" w:rsidR="005E05D4" w:rsidRDefault="0031220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7" w:history="1">
        <w:r w:rsidR="005E05D4" w:rsidRPr="00E3345A">
          <w:rPr>
            <w:rStyle w:val="Hyperlink"/>
            <w:noProof/>
          </w:rPr>
          <w:t>Indicator 4:  The outcome of complaints at each stage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_Toc149811897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14:paraId="7D8F7CF5" w14:textId="77777777" w:rsidR="005E05D4" w:rsidRDefault="0031220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8" w:history="1">
        <w:r w:rsidR="005E05D4" w:rsidRPr="00E3345A">
          <w:rPr>
            <w:rStyle w:val="Hyperlink"/>
            <w:noProof/>
          </w:rPr>
          <w:t>Learning from Complaints (LFC)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_Toc149811898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4</w:t>
        </w:r>
        <w:r w:rsidR="005E05D4">
          <w:rPr>
            <w:noProof/>
            <w:webHidden/>
          </w:rPr>
          <w:fldChar w:fldCharType="end"/>
        </w:r>
      </w:hyperlink>
    </w:p>
    <w:p w14:paraId="04B9B68C" w14:textId="77777777" w:rsidR="005E05D4" w:rsidRDefault="0031220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9" w:history="1">
        <w:r w:rsidR="005E05D4" w:rsidRPr="00E3345A">
          <w:rPr>
            <w:rStyle w:val="Hyperlink"/>
            <w:noProof/>
          </w:rPr>
          <w:t>Customer satisfaction with the complaints process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_Toc149811899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4</w:t>
        </w:r>
        <w:r w:rsidR="005E05D4">
          <w:rPr>
            <w:noProof/>
            <w:webHidden/>
          </w:rPr>
          <w:fldChar w:fldCharType="end"/>
        </w:r>
      </w:hyperlink>
    </w:p>
    <w:p w14:paraId="639CCFEE" w14:textId="77777777" w:rsidR="005E05D4" w:rsidRDefault="0031220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900" w:history="1">
        <w:r w:rsidR="005E05D4" w:rsidRPr="00E3345A">
          <w:rPr>
            <w:rStyle w:val="Hyperlink"/>
            <w:noProof/>
          </w:rPr>
          <w:t>Compliments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_Toc149811900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4</w:t>
        </w:r>
        <w:r w:rsidR="005E05D4">
          <w:rPr>
            <w:noProof/>
            <w:webHidden/>
          </w:rPr>
          <w:fldChar w:fldCharType="end"/>
        </w:r>
      </w:hyperlink>
    </w:p>
    <w:p w14:paraId="11E1CAB6" w14:textId="77777777" w:rsidR="00F15CF9" w:rsidRDefault="003C2605" w:rsidP="003C2605">
      <w:pPr>
        <w:pStyle w:val="TOC3"/>
      </w:pPr>
      <w:r>
        <w:fldChar w:fldCharType="end"/>
      </w:r>
    </w:p>
    <w:p w14:paraId="1E2A5527" w14:textId="77777777" w:rsidR="004E3F36" w:rsidRPr="004E3F36" w:rsidRDefault="003C2605" w:rsidP="00620CF7">
      <w:pPr>
        <w:pStyle w:val="Heading1"/>
      </w:pPr>
      <w:r>
        <w:br w:type="page"/>
      </w:r>
    </w:p>
    <w:p w14:paraId="59117303" w14:textId="77777777" w:rsidR="0086454C" w:rsidRDefault="0086454C" w:rsidP="002F0137">
      <w:pPr>
        <w:rPr>
          <w:rFonts w:cs="Arial"/>
        </w:rPr>
      </w:pPr>
    </w:p>
    <w:p w14:paraId="0D761CA0" w14:textId="77777777" w:rsidR="00620CF7" w:rsidRDefault="00620CF7" w:rsidP="00620CF7">
      <w:pPr>
        <w:pStyle w:val="Heading1"/>
      </w:pPr>
      <w:bookmarkStart w:id="0" w:name="_Toc149811894"/>
      <w:r>
        <w:t>Indicator 1:  Total number of complaints received at Stages 1 &amp; 2</w:t>
      </w:r>
      <w:bookmarkEnd w:id="0"/>
    </w:p>
    <w:p w14:paraId="0734D423" w14:textId="77777777" w:rsidR="00620CF7" w:rsidRDefault="00620CF7" w:rsidP="00620CF7">
      <w:pPr>
        <w:rPr>
          <w:b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2580"/>
        <w:gridCol w:w="3440"/>
        <w:gridCol w:w="3100"/>
      </w:tblGrid>
      <w:tr w:rsidR="00620CF7" w:rsidRPr="00BE3D45" w14:paraId="52698190" w14:textId="77777777" w:rsidTr="00380F73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E410" w14:textId="77777777" w:rsidR="00620CF7" w:rsidRPr="00BE3D45" w:rsidRDefault="00620CF7" w:rsidP="00380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Quarter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E6C4" w14:textId="77777777" w:rsidR="00620CF7" w:rsidRPr="00BE3D45" w:rsidRDefault="00620CF7" w:rsidP="00380F73">
            <w:pPr>
              <w:rPr>
                <w:b/>
                <w:lang w:eastAsia="en-GB"/>
              </w:rPr>
            </w:pPr>
            <w:r w:rsidRPr="00BE3D45">
              <w:rPr>
                <w:b/>
                <w:lang w:eastAsia="en-GB"/>
              </w:rPr>
              <w:t xml:space="preserve">Level 1 Complaints </w:t>
            </w:r>
            <w:r>
              <w:rPr>
                <w:b/>
                <w:lang w:eastAsia="en-GB"/>
              </w:rPr>
              <w:t>(includes escalated complaints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ECCE" w14:textId="77777777" w:rsidR="00620CF7" w:rsidRPr="00BE3D45" w:rsidRDefault="00620CF7" w:rsidP="00380F73">
            <w:pPr>
              <w:rPr>
                <w:b/>
                <w:lang w:eastAsia="en-GB"/>
              </w:rPr>
            </w:pPr>
            <w:r w:rsidRPr="00BE3D45">
              <w:rPr>
                <w:b/>
                <w:lang w:eastAsia="en-GB"/>
              </w:rPr>
              <w:t xml:space="preserve">Level 2 Complaints </w:t>
            </w:r>
          </w:p>
        </w:tc>
      </w:tr>
      <w:tr w:rsidR="00620CF7" w:rsidRPr="00A00D9B" w14:paraId="6E8EDE67" w14:textId="77777777" w:rsidTr="00E7327F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4C47" w14:textId="3400B198" w:rsidR="00620CF7" w:rsidRPr="00A00D9B" w:rsidRDefault="00620CF7" w:rsidP="00380F73">
            <w:pPr>
              <w:rPr>
                <w:lang w:eastAsia="en-GB"/>
              </w:rPr>
            </w:pPr>
            <w:r>
              <w:rPr>
                <w:lang w:eastAsia="en-GB"/>
              </w:rPr>
              <w:t>August – October 202</w:t>
            </w:r>
            <w:r w:rsidR="00CC2261">
              <w:rPr>
                <w:lang w:eastAsia="en-GB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06E6" w14:textId="474DB404" w:rsidR="00620CF7" w:rsidRPr="00A00D9B" w:rsidRDefault="00CC2261" w:rsidP="00380F7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28</w:t>
            </w:r>
            <w:r w:rsidR="000959B8">
              <w:rPr>
                <w:lang w:eastAsia="en-GB"/>
              </w:rPr>
              <w:t xml:space="preserve"> (</w:t>
            </w:r>
            <w:r w:rsidR="00A04AA2">
              <w:rPr>
                <w:lang w:eastAsia="en-GB"/>
              </w:rPr>
              <w:t xml:space="preserve">3 </w:t>
            </w:r>
            <w:r w:rsidR="000959B8">
              <w:rPr>
                <w:lang w:eastAsia="en-GB"/>
              </w:rPr>
              <w:t>escalated)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8DDB" w14:textId="174EDFDC" w:rsidR="00620CF7" w:rsidRPr="00A00D9B" w:rsidRDefault="00CC2261" w:rsidP="00380F7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</w:tr>
    </w:tbl>
    <w:p w14:paraId="79F6F912" w14:textId="77777777" w:rsidR="00620CF7" w:rsidRPr="00267AE5" w:rsidRDefault="00620CF7" w:rsidP="00620CF7"/>
    <w:p w14:paraId="12BE17DC" w14:textId="77777777" w:rsidR="00620CF7" w:rsidRDefault="00620CF7" w:rsidP="00620CF7">
      <w:pPr>
        <w:rPr>
          <w:b/>
        </w:rPr>
      </w:pPr>
    </w:p>
    <w:p w14:paraId="21A61131" w14:textId="77777777" w:rsidR="00620CF7" w:rsidRDefault="00620CF7" w:rsidP="00620CF7">
      <w:pPr>
        <w:pStyle w:val="Heading1"/>
      </w:pPr>
      <w:bookmarkStart w:id="1" w:name="_Toc149811895"/>
      <w:r w:rsidRPr="00267AE5">
        <w:t xml:space="preserve">Indicator </w:t>
      </w:r>
      <w:r>
        <w:t>2</w:t>
      </w:r>
      <w:r w:rsidRPr="00267AE5">
        <w:t>:  The number and percentage of complaints at each stage which were closed within the set timescales of 5 &amp; 20 working days</w:t>
      </w:r>
      <w:bookmarkEnd w:id="1"/>
    </w:p>
    <w:p w14:paraId="7AEE361A" w14:textId="77777777" w:rsidR="00620CF7" w:rsidRDefault="00620CF7" w:rsidP="00620CF7">
      <w:pPr>
        <w:rPr>
          <w:b/>
        </w:rPr>
      </w:pPr>
    </w:p>
    <w:p w14:paraId="1F9E7138" w14:textId="5EA69EDC" w:rsidR="00620CF7" w:rsidRPr="009C0887" w:rsidRDefault="00620CF7" w:rsidP="00620CF7">
      <w:r w:rsidRPr="00E7327F">
        <w:rPr>
          <w:rFonts w:cs="Arial"/>
          <w:b/>
          <w:color w:val="1F3864" w:themeColor="accent1" w:themeShade="80"/>
        </w:rPr>
        <w:t xml:space="preserve">Stage 1 closed within 5 working days: </w:t>
      </w:r>
      <w:r w:rsidR="000959B8" w:rsidRPr="000B16E1">
        <w:t xml:space="preserve"> </w:t>
      </w:r>
      <w:r w:rsidR="00DF592D">
        <w:t>2</w:t>
      </w:r>
      <w:r w:rsidR="00CC2261">
        <w:t xml:space="preserve">5 </w:t>
      </w:r>
      <w:r w:rsidR="000959B8" w:rsidRPr="000B16E1">
        <w:t xml:space="preserve">out </w:t>
      </w:r>
      <w:r w:rsidR="00DF592D">
        <w:t>2</w:t>
      </w:r>
      <w:r w:rsidR="00CC2261">
        <w:t>5</w:t>
      </w:r>
      <w:r w:rsidR="000959B8" w:rsidRPr="000B16E1">
        <w:t xml:space="preserve"> (</w:t>
      </w:r>
      <w:r w:rsidR="00DF592D">
        <w:t>100</w:t>
      </w:r>
      <w:r w:rsidR="000959B8">
        <w:t>%)</w:t>
      </w:r>
    </w:p>
    <w:p w14:paraId="1C6A28DE" w14:textId="4E75EB4B" w:rsidR="00620CF7" w:rsidRPr="000959B8" w:rsidRDefault="00620CF7" w:rsidP="000959B8">
      <w:pPr>
        <w:spacing w:before="180"/>
      </w:pPr>
      <w:r w:rsidRPr="00E7327F">
        <w:rPr>
          <w:rFonts w:cs="Arial"/>
          <w:b/>
          <w:color w:val="1F3864" w:themeColor="accent1" w:themeShade="80"/>
        </w:rPr>
        <w:t>Stage 2 closed within 20 working days</w:t>
      </w:r>
      <w:r w:rsidRPr="00E7327F">
        <w:rPr>
          <w:rFonts w:cs="Arial"/>
          <w:color w:val="1F3864" w:themeColor="accent1" w:themeShade="80"/>
        </w:rPr>
        <w:t xml:space="preserve">: </w:t>
      </w:r>
      <w:r w:rsidR="000959B8">
        <w:t xml:space="preserve"> </w:t>
      </w:r>
      <w:r w:rsidR="00CC2261">
        <w:t>4</w:t>
      </w:r>
      <w:r w:rsidR="00DF592D">
        <w:t xml:space="preserve"> </w:t>
      </w:r>
      <w:r w:rsidR="000959B8">
        <w:t>out of</w:t>
      </w:r>
      <w:r w:rsidR="00DF592D">
        <w:t xml:space="preserve"> </w:t>
      </w:r>
      <w:r w:rsidR="00CC2261">
        <w:t>4</w:t>
      </w:r>
      <w:r w:rsidR="000959B8">
        <w:t xml:space="preserve"> (</w:t>
      </w:r>
      <w:r w:rsidR="00DF592D">
        <w:t>100</w:t>
      </w:r>
      <w:r w:rsidR="000959B8">
        <w:t>%)</w:t>
      </w:r>
    </w:p>
    <w:p w14:paraId="3432EEA7" w14:textId="11120227" w:rsidR="00A04AA2" w:rsidRPr="00E7327F" w:rsidRDefault="00620CF7" w:rsidP="00CC2261">
      <w:pPr>
        <w:spacing w:before="180"/>
        <w:rPr>
          <w:rFonts w:cs="Arial"/>
          <w:color w:val="1F3864" w:themeColor="accent1" w:themeShade="80"/>
        </w:rPr>
      </w:pPr>
      <w:r w:rsidRPr="00E7327F">
        <w:rPr>
          <w:rFonts w:cs="Arial"/>
          <w:b/>
          <w:color w:val="1F3864" w:themeColor="accent1" w:themeShade="80"/>
        </w:rPr>
        <w:t>Escalated closed within 20 working days</w:t>
      </w:r>
      <w:r w:rsidRPr="00E7327F">
        <w:rPr>
          <w:rFonts w:cs="Arial"/>
          <w:color w:val="1F3864" w:themeColor="accent1" w:themeShade="80"/>
        </w:rPr>
        <w:t>:</w:t>
      </w:r>
      <w:r w:rsidR="000959B8">
        <w:rPr>
          <w:rFonts w:cs="Arial"/>
          <w:color w:val="1F3864" w:themeColor="accent1" w:themeShade="80"/>
        </w:rPr>
        <w:t xml:space="preserve"> </w:t>
      </w:r>
      <w:r w:rsidR="000959B8">
        <w:t xml:space="preserve"> </w:t>
      </w:r>
      <w:r w:rsidR="00CC2261">
        <w:t>3</w:t>
      </w:r>
      <w:r w:rsidR="00DF592D">
        <w:t xml:space="preserve"> </w:t>
      </w:r>
      <w:r w:rsidR="000959B8">
        <w:t xml:space="preserve">out of </w:t>
      </w:r>
      <w:r w:rsidR="00A04AA2">
        <w:t>3</w:t>
      </w:r>
      <w:r w:rsidR="00CC2261">
        <w:t xml:space="preserve"> (100%)</w:t>
      </w:r>
    </w:p>
    <w:p w14:paraId="20FA4A12" w14:textId="77777777" w:rsidR="00620CF7" w:rsidRDefault="00620CF7" w:rsidP="00620CF7">
      <w:pPr>
        <w:spacing w:after="160" w:line="259" w:lineRule="auto"/>
        <w:rPr>
          <w:b/>
        </w:rPr>
      </w:pPr>
    </w:p>
    <w:p w14:paraId="3CF8605E" w14:textId="77777777" w:rsidR="00620CF7" w:rsidRDefault="00620CF7" w:rsidP="00620CF7">
      <w:pPr>
        <w:pStyle w:val="Heading1"/>
      </w:pPr>
      <w:bookmarkStart w:id="2" w:name="_Toc149811896"/>
      <w:r>
        <w:t>Indicator 3: The average time in working days for a full response to complaints at each stage</w:t>
      </w:r>
      <w:bookmarkEnd w:id="2"/>
    </w:p>
    <w:p w14:paraId="1F95C919" w14:textId="77777777" w:rsidR="00620CF7" w:rsidRPr="003B5536" w:rsidRDefault="00620CF7" w:rsidP="00620CF7"/>
    <w:p w14:paraId="50507A7B" w14:textId="77777777" w:rsidR="00E7327F" w:rsidRDefault="00E7327F" w:rsidP="00E7327F">
      <w:r>
        <w:rPr>
          <w:b/>
        </w:rPr>
        <w:t>Stage 1</w:t>
      </w:r>
      <w:r>
        <w:t xml:space="preserve">: </w:t>
      </w:r>
      <w:r w:rsidR="00DF592D">
        <w:t xml:space="preserve">3 </w:t>
      </w:r>
      <w:r w:rsidR="000959B8" w:rsidRPr="00954B83">
        <w:t>working da</w:t>
      </w:r>
      <w:r w:rsidR="000959B8">
        <w:t>ys</w:t>
      </w:r>
      <w:r>
        <w:t xml:space="preserve"> </w:t>
      </w:r>
    </w:p>
    <w:p w14:paraId="3A779594" w14:textId="60B76CE8" w:rsidR="00E7327F" w:rsidRDefault="00E7327F" w:rsidP="00E7327F">
      <w:r>
        <w:rPr>
          <w:b/>
        </w:rPr>
        <w:t>Stage 2</w:t>
      </w:r>
      <w:r>
        <w:t>:</w:t>
      </w:r>
      <w:r w:rsidR="000959B8">
        <w:t xml:space="preserve"> </w:t>
      </w:r>
      <w:r w:rsidR="000959B8">
        <w:rPr>
          <w:lang w:eastAsia="en-GB"/>
        </w:rPr>
        <w:t xml:space="preserve"> </w:t>
      </w:r>
      <w:r w:rsidR="00DF592D">
        <w:rPr>
          <w:lang w:eastAsia="en-GB"/>
        </w:rPr>
        <w:t>1</w:t>
      </w:r>
      <w:r w:rsidR="00CC2261">
        <w:rPr>
          <w:lang w:eastAsia="en-GB"/>
        </w:rPr>
        <w:t>4</w:t>
      </w:r>
      <w:r w:rsidR="00DF592D">
        <w:rPr>
          <w:lang w:eastAsia="en-GB"/>
        </w:rPr>
        <w:t xml:space="preserve"> </w:t>
      </w:r>
      <w:r w:rsidR="000959B8">
        <w:rPr>
          <w:lang w:eastAsia="en-GB"/>
        </w:rPr>
        <w:t>working days</w:t>
      </w:r>
    </w:p>
    <w:p w14:paraId="18B220E4" w14:textId="51FABC6E" w:rsidR="00E7327F" w:rsidRDefault="00E7327F" w:rsidP="00E7327F">
      <w:r>
        <w:rPr>
          <w:b/>
        </w:rPr>
        <w:t>Escalated:</w:t>
      </w:r>
      <w:r w:rsidR="000959B8">
        <w:rPr>
          <w:b/>
        </w:rPr>
        <w:t xml:space="preserve"> </w:t>
      </w:r>
      <w:r w:rsidR="00DF592D">
        <w:rPr>
          <w:lang w:eastAsia="en-GB"/>
        </w:rPr>
        <w:t>1</w:t>
      </w:r>
      <w:r w:rsidR="00BD3CEB">
        <w:rPr>
          <w:lang w:eastAsia="en-GB"/>
        </w:rPr>
        <w:t>1</w:t>
      </w:r>
      <w:r w:rsidR="00DF592D">
        <w:rPr>
          <w:lang w:eastAsia="en-GB"/>
        </w:rPr>
        <w:t xml:space="preserve"> </w:t>
      </w:r>
      <w:r w:rsidR="000959B8" w:rsidRPr="00954B83">
        <w:rPr>
          <w:lang w:eastAsia="en-GB"/>
        </w:rPr>
        <w:t>working days</w:t>
      </w:r>
    </w:p>
    <w:p w14:paraId="04A4814E" w14:textId="77777777" w:rsidR="00620CF7" w:rsidRDefault="00620CF7" w:rsidP="00620CF7">
      <w:pPr>
        <w:rPr>
          <w:b/>
        </w:rPr>
      </w:pPr>
    </w:p>
    <w:p w14:paraId="360142D6" w14:textId="77777777" w:rsidR="00620CF7" w:rsidRDefault="00620CF7" w:rsidP="00620CF7">
      <w:pPr>
        <w:pStyle w:val="Heading1"/>
      </w:pPr>
      <w:bookmarkStart w:id="3" w:name="_Toc149811897"/>
      <w:r w:rsidRPr="00E40BDA">
        <w:t>Indicator 4:  The outcome of complaints at each stage</w:t>
      </w:r>
      <w:bookmarkEnd w:id="3"/>
    </w:p>
    <w:p w14:paraId="696DD9BE" w14:textId="77777777" w:rsidR="00620CF7" w:rsidRDefault="00620CF7" w:rsidP="00620CF7">
      <w:pPr>
        <w:rPr>
          <w:b/>
        </w:rPr>
      </w:pP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2122"/>
        <w:gridCol w:w="2265"/>
        <w:gridCol w:w="2265"/>
        <w:gridCol w:w="2416"/>
      </w:tblGrid>
      <w:tr w:rsidR="00620CF7" w14:paraId="5DDBA0CD" w14:textId="77777777" w:rsidTr="00380F73">
        <w:tc>
          <w:tcPr>
            <w:tcW w:w="2122" w:type="dxa"/>
          </w:tcPr>
          <w:p w14:paraId="36472B3C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Complaint Outcome</w:t>
            </w:r>
          </w:p>
        </w:tc>
        <w:tc>
          <w:tcPr>
            <w:tcW w:w="2265" w:type="dxa"/>
          </w:tcPr>
          <w:p w14:paraId="63527523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Stage 1 complaints and also as a % of all complaints closed at Stage 1</w:t>
            </w:r>
          </w:p>
        </w:tc>
        <w:tc>
          <w:tcPr>
            <w:tcW w:w="2265" w:type="dxa"/>
          </w:tcPr>
          <w:p w14:paraId="6D649F79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Stage 2 complaints and also as a % of all complaints closed at Stage 2</w:t>
            </w:r>
          </w:p>
        </w:tc>
        <w:tc>
          <w:tcPr>
            <w:tcW w:w="2416" w:type="dxa"/>
          </w:tcPr>
          <w:p w14:paraId="4846C40A" w14:textId="258E3264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Escalated complaints and also as a % of all complaints closed after Escalation</w:t>
            </w:r>
            <w:r w:rsidR="00A04AA2">
              <w:rPr>
                <w:b/>
              </w:rPr>
              <w:t xml:space="preserve"> </w:t>
            </w:r>
          </w:p>
        </w:tc>
      </w:tr>
      <w:tr w:rsidR="00620CF7" w14:paraId="55D037E3" w14:textId="77777777" w:rsidTr="00380F73">
        <w:tc>
          <w:tcPr>
            <w:tcW w:w="2122" w:type="dxa"/>
          </w:tcPr>
          <w:p w14:paraId="4DB4CB43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 xml:space="preserve">Upheld </w:t>
            </w:r>
          </w:p>
        </w:tc>
        <w:tc>
          <w:tcPr>
            <w:tcW w:w="2265" w:type="dxa"/>
          </w:tcPr>
          <w:p w14:paraId="2BE6ADAC" w14:textId="6D9C833F" w:rsidR="00620CF7" w:rsidRPr="00562981" w:rsidRDefault="00BD3CEB" w:rsidP="00380F73">
            <w:pPr>
              <w:jc w:val="center"/>
            </w:pPr>
            <w:r>
              <w:t>0</w:t>
            </w:r>
          </w:p>
        </w:tc>
        <w:tc>
          <w:tcPr>
            <w:tcW w:w="2265" w:type="dxa"/>
          </w:tcPr>
          <w:p w14:paraId="4BA15B47" w14:textId="735DB2B9" w:rsidR="00620CF7" w:rsidRPr="00562981" w:rsidRDefault="00BD3CEB" w:rsidP="00380F73">
            <w:pPr>
              <w:jc w:val="center"/>
            </w:pPr>
            <w:r>
              <w:t>1 (25%)</w:t>
            </w:r>
          </w:p>
        </w:tc>
        <w:tc>
          <w:tcPr>
            <w:tcW w:w="2416" w:type="dxa"/>
          </w:tcPr>
          <w:p w14:paraId="08378AB0" w14:textId="2D475B81" w:rsidR="00620CF7" w:rsidRPr="00562981" w:rsidRDefault="00BD3CEB" w:rsidP="00380F73">
            <w:pPr>
              <w:jc w:val="center"/>
            </w:pPr>
            <w:r>
              <w:t>0</w:t>
            </w:r>
          </w:p>
        </w:tc>
      </w:tr>
      <w:tr w:rsidR="00620CF7" w14:paraId="4391E00D" w14:textId="77777777" w:rsidTr="00380F73">
        <w:tc>
          <w:tcPr>
            <w:tcW w:w="2122" w:type="dxa"/>
          </w:tcPr>
          <w:p w14:paraId="2FFCD0EA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Partially upheld</w:t>
            </w:r>
          </w:p>
        </w:tc>
        <w:tc>
          <w:tcPr>
            <w:tcW w:w="2265" w:type="dxa"/>
          </w:tcPr>
          <w:p w14:paraId="10E7657F" w14:textId="0761CDC7" w:rsidR="00620CF7" w:rsidRPr="00562981" w:rsidRDefault="00BD3CEB" w:rsidP="00380F73">
            <w:pPr>
              <w:jc w:val="center"/>
            </w:pPr>
            <w:r>
              <w:t>2 (8%)</w:t>
            </w:r>
          </w:p>
        </w:tc>
        <w:tc>
          <w:tcPr>
            <w:tcW w:w="2265" w:type="dxa"/>
          </w:tcPr>
          <w:p w14:paraId="182D6D5D" w14:textId="4D408C3C" w:rsidR="00620CF7" w:rsidRPr="00562981" w:rsidRDefault="00BD3CEB" w:rsidP="00380F73">
            <w:pPr>
              <w:jc w:val="center"/>
            </w:pPr>
            <w:r>
              <w:t>1 (25%)</w:t>
            </w:r>
          </w:p>
        </w:tc>
        <w:tc>
          <w:tcPr>
            <w:tcW w:w="2416" w:type="dxa"/>
          </w:tcPr>
          <w:p w14:paraId="21C9536A" w14:textId="471642F4" w:rsidR="00620CF7" w:rsidRPr="00562981" w:rsidRDefault="00BD3CEB" w:rsidP="00380F73">
            <w:pPr>
              <w:jc w:val="center"/>
            </w:pPr>
            <w:r>
              <w:t>1 (33.3%)</w:t>
            </w:r>
          </w:p>
        </w:tc>
      </w:tr>
      <w:tr w:rsidR="00620CF7" w14:paraId="3C4B5605" w14:textId="77777777" w:rsidTr="00380F73">
        <w:tc>
          <w:tcPr>
            <w:tcW w:w="2122" w:type="dxa"/>
          </w:tcPr>
          <w:p w14:paraId="4E4D24B2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Not upheld</w:t>
            </w:r>
          </w:p>
        </w:tc>
        <w:tc>
          <w:tcPr>
            <w:tcW w:w="2265" w:type="dxa"/>
          </w:tcPr>
          <w:p w14:paraId="00858F91" w14:textId="02E63F5C" w:rsidR="00620CF7" w:rsidRPr="00562981" w:rsidRDefault="00BD3CEB" w:rsidP="00380F73">
            <w:pPr>
              <w:jc w:val="center"/>
            </w:pPr>
            <w:r>
              <w:t>9 (36%)</w:t>
            </w:r>
          </w:p>
        </w:tc>
        <w:tc>
          <w:tcPr>
            <w:tcW w:w="2265" w:type="dxa"/>
          </w:tcPr>
          <w:p w14:paraId="1EE16B6B" w14:textId="6E201925" w:rsidR="00620CF7" w:rsidRPr="00562981" w:rsidRDefault="00BD3CEB" w:rsidP="00380F73">
            <w:pPr>
              <w:jc w:val="center"/>
            </w:pPr>
            <w:r>
              <w:t>2 (50%</w:t>
            </w:r>
            <w:r w:rsidR="00D512BF">
              <w:t>)</w:t>
            </w:r>
          </w:p>
        </w:tc>
        <w:tc>
          <w:tcPr>
            <w:tcW w:w="2416" w:type="dxa"/>
          </w:tcPr>
          <w:p w14:paraId="48E2B520" w14:textId="76FA5094" w:rsidR="00620CF7" w:rsidRPr="00562981" w:rsidRDefault="00BD3CEB" w:rsidP="00380F73">
            <w:pPr>
              <w:jc w:val="center"/>
            </w:pPr>
            <w:r>
              <w:t>2 (66.7%)</w:t>
            </w:r>
          </w:p>
        </w:tc>
      </w:tr>
      <w:tr w:rsidR="00620CF7" w14:paraId="534C6B86" w14:textId="77777777" w:rsidTr="00380F73">
        <w:tc>
          <w:tcPr>
            <w:tcW w:w="2122" w:type="dxa"/>
          </w:tcPr>
          <w:p w14:paraId="312FC141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Resolved</w:t>
            </w:r>
          </w:p>
        </w:tc>
        <w:tc>
          <w:tcPr>
            <w:tcW w:w="2265" w:type="dxa"/>
          </w:tcPr>
          <w:p w14:paraId="1015A060" w14:textId="703D0354" w:rsidR="00620CF7" w:rsidRPr="00562981" w:rsidRDefault="00BD3CEB" w:rsidP="00380F73">
            <w:pPr>
              <w:jc w:val="center"/>
            </w:pPr>
            <w:r>
              <w:t>14 (56%)</w:t>
            </w:r>
          </w:p>
        </w:tc>
        <w:tc>
          <w:tcPr>
            <w:tcW w:w="2265" w:type="dxa"/>
          </w:tcPr>
          <w:p w14:paraId="28B63A79" w14:textId="3F0DD9D2" w:rsidR="00620CF7" w:rsidRPr="00562981" w:rsidRDefault="00BD3CEB" w:rsidP="00380F73">
            <w:pPr>
              <w:jc w:val="center"/>
            </w:pPr>
            <w:r>
              <w:t>0</w:t>
            </w:r>
          </w:p>
        </w:tc>
        <w:tc>
          <w:tcPr>
            <w:tcW w:w="2416" w:type="dxa"/>
          </w:tcPr>
          <w:p w14:paraId="71EE0540" w14:textId="4376527D" w:rsidR="00620CF7" w:rsidRPr="00562981" w:rsidRDefault="00BD3CEB" w:rsidP="00380F73">
            <w:pPr>
              <w:jc w:val="center"/>
            </w:pPr>
            <w:r>
              <w:t>0</w:t>
            </w:r>
          </w:p>
        </w:tc>
      </w:tr>
    </w:tbl>
    <w:p w14:paraId="35C5D683" w14:textId="77777777" w:rsidR="0086454C" w:rsidRPr="008B62A6" w:rsidRDefault="0086454C" w:rsidP="0086454C">
      <w:pPr>
        <w:rPr>
          <w:b/>
        </w:rPr>
      </w:pPr>
      <w:r>
        <w:rPr>
          <w:b/>
        </w:rPr>
        <w:br w:type="page"/>
      </w:r>
    </w:p>
    <w:p w14:paraId="01C32979" w14:textId="77777777" w:rsidR="0086454C" w:rsidRDefault="0086454C" w:rsidP="0086454C"/>
    <w:p w14:paraId="371ABE2E" w14:textId="77777777" w:rsidR="004E3F36" w:rsidRDefault="004E3F36" w:rsidP="004E3F36"/>
    <w:p w14:paraId="17FEBF89" w14:textId="77777777" w:rsidR="004068C3" w:rsidRPr="00C6352A" w:rsidRDefault="004068C3" w:rsidP="004068C3">
      <w:pPr>
        <w:pStyle w:val="Heading1"/>
        <w:rPr>
          <w:rFonts w:eastAsia="Calibri" w:cs="Times New Roman"/>
          <w:color w:val="FF0000"/>
          <w:sz w:val="22"/>
          <w:szCs w:val="22"/>
        </w:rPr>
      </w:pPr>
      <w:bookmarkStart w:id="4" w:name="_Toc149811898"/>
      <w:r w:rsidRPr="00E20335">
        <w:t>Learning from Complaints (LFC)</w:t>
      </w:r>
      <w:bookmarkEnd w:id="4"/>
      <w:r>
        <w:t xml:space="preserve">    </w:t>
      </w:r>
    </w:p>
    <w:p w14:paraId="2306A690" w14:textId="77777777" w:rsidR="004068C3" w:rsidRPr="00E20335" w:rsidRDefault="004068C3" w:rsidP="004068C3"/>
    <w:p w14:paraId="5130BA34" w14:textId="46B04401" w:rsidR="004068C3" w:rsidRDefault="004068C3" w:rsidP="004068C3">
      <w:r w:rsidRPr="000959B8">
        <w:t>During the first quarter of session 2</w:t>
      </w:r>
      <w:r w:rsidR="00BD3CEB">
        <w:t>5/26</w:t>
      </w:r>
      <w:r w:rsidRPr="000959B8">
        <w:t xml:space="preserve"> by completing an LFC we have helped improve services and delivery, some of the actions taken in response to complaints were</w:t>
      </w:r>
      <w:r w:rsidR="005001E3">
        <w:t>:</w:t>
      </w:r>
    </w:p>
    <w:p w14:paraId="55643934" w14:textId="77777777" w:rsidR="005001E3" w:rsidRDefault="005001E3" w:rsidP="004068C3"/>
    <w:p w14:paraId="18DBBBF3" w14:textId="7837F97D" w:rsidR="004068C3" w:rsidRDefault="00BD3CEB" w:rsidP="00BD3CEB">
      <w:pPr>
        <w:pStyle w:val="ListParagraph"/>
        <w:numPr>
          <w:ilvl w:val="0"/>
          <w:numId w:val="7"/>
        </w:numPr>
      </w:pPr>
      <w:bookmarkStart w:id="5" w:name="_Hlk213677223"/>
      <w:r>
        <w:t>Review of e-mail wording and system prompts to ensure</w:t>
      </w:r>
      <w:r w:rsidR="00B62792">
        <w:t xml:space="preserve"> instructions for resubmission of</w:t>
      </w:r>
      <w:r>
        <w:t xml:space="preserve"> applications are </w:t>
      </w:r>
      <w:r w:rsidR="00B62792">
        <w:t>clear.</w:t>
      </w:r>
    </w:p>
    <w:p w14:paraId="71E4DF0C" w14:textId="7D653A5B" w:rsidR="00BD3CEB" w:rsidRDefault="00B62792" w:rsidP="00BD3CEB">
      <w:pPr>
        <w:pStyle w:val="ListParagraph"/>
        <w:numPr>
          <w:ilvl w:val="0"/>
          <w:numId w:val="7"/>
        </w:numPr>
      </w:pPr>
      <w:r>
        <w:t>Improved recruitment process for curriculum area that complaint referred to.</w:t>
      </w:r>
    </w:p>
    <w:p w14:paraId="5F790F1E" w14:textId="54FD5A53" w:rsidR="00B62792" w:rsidRDefault="00B62792" w:rsidP="00BD3CEB">
      <w:pPr>
        <w:pStyle w:val="ListParagraph"/>
        <w:numPr>
          <w:ilvl w:val="0"/>
          <w:numId w:val="7"/>
        </w:numPr>
      </w:pPr>
      <w:r>
        <w:t>Lecturer to give class advance notice about the use of language contained within an assessment.</w:t>
      </w:r>
    </w:p>
    <w:bookmarkEnd w:id="5"/>
    <w:p w14:paraId="40C6090B" w14:textId="77777777" w:rsidR="004068C3" w:rsidRPr="00620CF7" w:rsidRDefault="004068C3" w:rsidP="004068C3">
      <w:pPr>
        <w:rPr>
          <w:b/>
          <w:sz w:val="32"/>
          <w:szCs w:val="32"/>
          <w:u w:val="single"/>
        </w:rPr>
      </w:pPr>
      <w:r w:rsidRPr="00620CF7">
        <w:rPr>
          <w:b/>
          <w:sz w:val="32"/>
          <w:szCs w:val="32"/>
          <w:u w:val="single"/>
        </w:rPr>
        <w:t>Case Study</w:t>
      </w:r>
    </w:p>
    <w:p w14:paraId="0855D031" w14:textId="77777777" w:rsidR="004068C3" w:rsidRDefault="004068C3" w:rsidP="004068C3"/>
    <w:p w14:paraId="5F2093DB" w14:textId="6090C05B" w:rsidR="003F0767" w:rsidRPr="003F0767" w:rsidRDefault="004068C3" w:rsidP="003F0767">
      <w:bookmarkStart w:id="6" w:name="_Hlk213677284"/>
      <w:r w:rsidRPr="004B7441">
        <w:rPr>
          <w:b/>
        </w:rPr>
        <w:t>Complaint</w:t>
      </w:r>
      <w:r w:rsidR="003F0767">
        <w:t>:</w:t>
      </w:r>
      <w:r>
        <w:t xml:space="preserve">  </w:t>
      </w:r>
      <w:r w:rsidR="005001E3">
        <w:t xml:space="preserve">Student complained </w:t>
      </w:r>
      <w:r w:rsidR="00B62792">
        <w:t>about the handling of their application</w:t>
      </w:r>
    </w:p>
    <w:p w14:paraId="7FD53144" w14:textId="77777777" w:rsidR="004068C3" w:rsidRDefault="004068C3" w:rsidP="004068C3"/>
    <w:p w14:paraId="30CFEF72" w14:textId="77777777" w:rsidR="003F0767" w:rsidRDefault="003F0767" w:rsidP="004068C3">
      <w:r w:rsidRPr="003F0767">
        <w:rPr>
          <w:b/>
        </w:rPr>
        <w:t>Outcome:</w:t>
      </w:r>
      <w:r>
        <w:t xml:space="preserve"> Upheld</w:t>
      </w:r>
    </w:p>
    <w:p w14:paraId="3421B810" w14:textId="77777777" w:rsidR="004068C3" w:rsidRDefault="004068C3" w:rsidP="004068C3"/>
    <w:p w14:paraId="0C9F1AE0" w14:textId="66484EDB" w:rsidR="004068C3" w:rsidRDefault="004068C3" w:rsidP="004068C3">
      <w:r w:rsidRPr="004B7441">
        <w:rPr>
          <w:b/>
        </w:rPr>
        <w:t>What went wrong?</w:t>
      </w:r>
      <w:r>
        <w:t xml:space="preserve">  </w:t>
      </w:r>
      <w:r w:rsidR="00E8396E">
        <w:t>Once the student had uploaded the required evidence there was no indication on the ECAS screen or in the e-mail that they had to re-submit their application, therefore their application was left for over 2 months without being progressed.</w:t>
      </w:r>
    </w:p>
    <w:p w14:paraId="4ED6CDC7" w14:textId="77777777" w:rsidR="004068C3" w:rsidRDefault="004068C3" w:rsidP="004068C3"/>
    <w:p w14:paraId="21A1334C" w14:textId="680CCD8B" w:rsidR="004068C3" w:rsidRDefault="004068C3" w:rsidP="004068C3">
      <w:r w:rsidRPr="004B7441">
        <w:rPr>
          <w:b/>
        </w:rPr>
        <w:t>Actions implemented</w:t>
      </w:r>
      <w:r>
        <w:t xml:space="preserve">:  </w:t>
      </w:r>
      <w:r w:rsidR="00E8396E">
        <w:t>Offer of place made, change to e-mail template wording and ECAS page</w:t>
      </w:r>
      <w:r w:rsidR="0031220F">
        <w:t xml:space="preserve"> </w:t>
      </w:r>
      <w:r w:rsidR="00E8396E">
        <w:t>to show a clear prompt.</w:t>
      </w:r>
    </w:p>
    <w:bookmarkEnd w:id="6"/>
    <w:p w14:paraId="4039A295" w14:textId="77777777" w:rsidR="004E3F36" w:rsidRDefault="004E3F36"/>
    <w:p w14:paraId="7E1EFBE7" w14:textId="77777777" w:rsidR="00C6352A" w:rsidRDefault="00C6352A"/>
    <w:p w14:paraId="05B2BB97" w14:textId="77777777" w:rsidR="00620CF7" w:rsidRDefault="00620CF7" w:rsidP="00620CF7">
      <w:pPr>
        <w:pStyle w:val="Heading1"/>
      </w:pPr>
      <w:bookmarkStart w:id="7" w:name="_Toc134097016"/>
      <w:bookmarkStart w:id="8" w:name="_Toc113361091"/>
      <w:bookmarkStart w:id="9" w:name="_Toc149811899"/>
      <w:r>
        <w:t>Customer satisfaction with the complaints process</w:t>
      </w:r>
      <w:bookmarkEnd w:id="7"/>
      <w:bookmarkEnd w:id="8"/>
      <w:bookmarkEnd w:id="9"/>
    </w:p>
    <w:p w14:paraId="34D34E46" w14:textId="77777777" w:rsidR="00620CF7" w:rsidRDefault="00620CF7">
      <w:pPr>
        <w:rPr>
          <w:color w:val="FF0000"/>
        </w:rPr>
      </w:pPr>
    </w:p>
    <w:p w14:paraId="296E92AC" w14:textId="4ADB330B" w:rsidR="000959B8" w:rsidRDefault="00EF2518" w:rsidP="000959B8">
      <w:bookmarkStart w:id="10" w:name="_Hlk213677377"/>
      <w:r>
        <w:t>4</w:t>
      </w:r>
      <w:r w:rsidR="00A04AA2">
        <w:t xml:space="preserve"> </w:t>
      </w:r>
      <w:r w:rsidR="000959B8" w:rsidRPr="008E078C">
        <w:t>surveys were completed in the first qua</w:t>
      </w:r>
      <w:r w:rsidR="000959B8">
        <w:t>r</w:t>
      </w:r>
      <w:r w:rsidR="000959B8" w:rsidRPr="008E078C">
        <w:t>ter</w:t>
      </w:r>
      <w:r w:rsidR="000959B8">
        <w:t>.</w:t>
      </w:r>
    </w:p>
    <w:p w14:paraId="41375F18" w14:textId="77777777" w:rsidR="00EF2518" w:rsidRDefault="00EF2518" w:rsidP="000959B8"/>
    <w:p w14:paraId="579E80E1" w14:textId="6B186B43" w:rsidR="00EF2518" w:rsidRDefault="00EF2518" w:rsidP="000959B8">
      <w:r>
        <w:t>2 surveys were very happy with every aspect of the process and the outcome, 2 were dissatisfied with everything about the process and the outcome given</w:t>
      </w:r>
      <w:bookmarkEnd w:id="10"/>
      <w:r>
        <w:t>.</w:t>
      </w:r>
    </w:p>
    <w:p w14:paraId="11FD8FA7" w14:textId="77777777" w:rsidR="00620CF7" w:rsidRDefault="00620CF7">
      <w:pPr>
        <w:rPr>
          <w:color w:val="FF0000"/>
        </w:rPr>
      </w:pPr>
    </w:p>
    <w:p w14:paraId="477CB1DD" w14:textId="77777777" w:rsidR="00620CF7" w:rsidRDefault="00620CF7">
      <w:pPr>
        <w:rPr>
          <w:color w:val="FF0000"/>
        </w:rPr>
      </w:pPr>
    </w:p>
    <w:p w14:paraId="15C04DF8" w14:textId="77777777" w:rsidR="00620CF7" w:rsidRDefault="00620CF7" w:rsidP="00620CF7">
      <w:pPr>
        <w:pStyle w:val="Heading1"/>
      </w:pPr>
      <w:bookmarkStart w:id="11" w:name="_Toc134097017"/>
      <w:bookmarkStart w:id="12" w:name="_Toc149811900"/>
      <w:r>
        <w:t>Compliments</w:t>
      </w:r>
      <w:bookmarkEnd w:id="11"/>
      <w:bookmarkEnd w:id="12"/>
    </w:p>
    <w:p w14:paraId="0D7BDF0A" w14:textId="77777777" w:rsidR="00620CF7" w:rsidRDefault="00620CF7">
      <w:pPr>
        <w:rPr>
          <w:color w:val="FF0000"/>
        </w:rPr>
      </w:pPr>
    </w:p>
    <w:p w14:paraId="64284218" w14:textId="77F95625" w:rsidR="00620CF7" w:rsidRDefault="00E8396E">
      <w:pPr>
        <w:rPr>
          <w:color w:val="323E4F" w:themeColor="text2" w:themeShade="BF"/>
        </w:rPr>
      </w:pPr>
      <w:bookmarkStart w:id="13" w:name="_Hlk213677397"/>
      <w:r>
        <w:rPr>
          <w:color w:val="323E4F" w:themeColor="text2" w:themeShade="BF"/>
        </w:rPr>
        <w:t>4</w:t>
      </w:r>
      <w:r w:rsidR="002173BD" w:rsidRPr="005E05D4">
        <w:rPr>
          <w:color w:val="323E4F" w:themeColor="text2" w:themeShade="BF"/>
        </w:rPr>
        <w:t xml:space="preserve"> compliments</w:t>
      </w:r>
      <w:r>
        <w:rPr>
          <w:color w:val="323E4F" w:themeColor="text2" w:themeShade="BF"/>
        </w:rPr>
        <w:t xml:space="preserve"> were</w:t>
      </w:r>
      <w:r w:rsidR="002173BD" w:rsidRPr="005E05D4">
        <w:rPr>
          <w:color w:val="323E4F" w:themeColor="text2" w:themeShade="BF"/>
        </w:rPr>
        <w:t xml:space="preserve"> received in th</w:t>
      </w:r>
      <w:r w:rsidR="008557B2">
        <w:rPr>
          <w:color w:val="323E4F" w:themeColor="text2" w:themeShade="BF"/>
        </w:rPr>
        <w:t>e first</w:t>
      </w:r>
      <w:r w:rsidR="002173BD" w:rsidRPr="005E05D4">
        <w:rPr>
          <w:color w:val="323E4F" w:themeColor="text2" w:themeShade="BF"/>
        </w:rPr>
        <w:t xml:space="preserve"> quarter</w:t>
      </w:r>
      <w:r w:rsidR="005E05D4">
        <w:rPr>
          <w:color w:val="323E4F" w:themeColor="text2" w:themeShade="BF"/>
        </w:rPr>
        <w:t>.</w:t>
      </w:r>
    </w:p>
    <w:p w14:paraId="202BAEB2" w14:textId="77777777" w:rsidR="00E8396E" w:rsidRDefault="00E8396E">
      <w:pPr>
        <w:rPr>
          <w:color w:val="323E4F" w:themeColor="text2" w:themeShade="BF"/>
        </w:rPr>
      </w:pPr>
    </w:p>
    <w:p w14:paraId="24E8CEAC" w14:textId="6A9E6DAD" w:rsidR="00E8396E" w:rsidRPr="00E8396E" w:rsidRDefault="00E8396E" w:rsidP="00E8396E">
      <w:pPr>
        <w:pStyle w:val="ListParagraph"/>
        <w:numPr>
          <w:ilvl w:val="0"/>
          <w:numId w:val="8"/>
        </w:numPr>
        <w:rPr>
          <w:b/>
          <w:bCs/>
          <w:color w:val="323E4F" w:themeColor="text2" w:themeShade="BF"/>
        </w:rPr>
      </w:pPr>
      <w:r w:rsidRPr="00E8396E">
        <w:rPr>
          <w:b/>
          <w:bCs/>
          <w:color w:val="323E4F" w:themeColor="text2" w:themeShade="BF"/>
        </w:rPr>
        <w:t>Student Records Advisor &amp; Learning Development Tutor</w:t>
      </w:r>
    </w:p>
    <w:p w14:paraId="30E252D0" w14:textId="18338FEC" w:rsidR="00E8396E" w:rsidRDefault="00E8396E">
      <w:pPr>
        <w:rPr>
          <w:color w:val="323E4F" w:themeColor="text2" w:themeShade="BF"/>
        </w:rPr>
      </w:pPr>
      <w:r w:rsidRPr="00E8396E">
        <w:rPr>
          <w:color w:val="323E4F" w:themeColor="text2" w:themeShade="BF"/>
        </w:rPr>
        <w:t>Compliment from a High School Principal thanking staff who helped him and a student with several questions and points in regards to an appeal and bursary application questions.</w:t>
      </w:r>
    </w:p>
    <w:p w14:paraId="0133D1DF" w14:textId="77777777" w:rsidR="00E8396E" w:rsidRDefault="00E8396E">
      <w:pPr>
        <w:rPr>
          <w:color w:val="323E4F" w:themeColor="text2" w:themeShade="BF"/>
        </w:rPr>
      </w:pPr>
    </w:p>
    <w:p w14:paraId="73E09CA2" w14:textId="3861F16A" w:rsidR="00E8396E" w:rsidRPr="00B1788E" w:rsidRDefault="00E8396E" w:rsidP="00E8396E">
      <w:pPr>
        <w:pStyle w:val="ListParagraph"/>
        <w:numPr>
          <w:ilvl w:val="0"/>
          <w:numId w:val="8"/>
        </w:numPr>
        <w:rPr>
          <w:b/>
          <w:bCs/>
          <w:color w:val="323E4F" w:themeColor="text2" w:themeShade="BF"/>
        </w:rPr>
      </w:pPr>
      <w:r w:rsidRPr="00B1788E">
        <w:rPr>
          <w:b/>
          <w:bCs/>
          <w:color w:val="323E4F" w:themeColor="text2" w:themeShade="BF"/>
        </w:rPr>
        <w:t>Gather &amp; Gather</w:t>
      </w:r>
    </w:p>
    <w:p w14:paraId="19E9DCA8" w14:textId="541E5865" w:rsidR="00E8396E" w:rsidRDefault="00E8396E" w:rsidP="00E8396E">
      <w:pPr>
        <w:rPr>
          <w:color w:val="323E4F" w:themeColor="text2" w:themeShade="BF"/>
        </w:rPr>
      </w:pPr>
      <w:r>
        <w:rPr>
          <w:color w:val="323E4F" w:themeColor="text2" w:themeShade="BF"/>
        </w:rPr>
        <w:t xml:space="preserve">Compliment from </w:t>
      </w:r>
      <w:r w:rsidR="00B1788E">
        <w:rPr>
          <w:color w:val="323E4F" w:themeColor="text2" w:themeShade="BF"/>
        </w:rPr>
        <w:t>a member of the public who went into Gather &amp; Gather at the Sighthill campus.  They were impressed by the staff member who served them, so kind, friendly and warm showing empathy to another person who was having a tough day.</w:t>
      </w:r>
    </w:p>
    <w:p w14:paraId="1B3B0883" w14:textId="77777777" w:rsidR="00B1788E" w:rsidRDefault="00B1788E" w:rsidP="00E8396E">
      <w:pPr>
        <w:rPr>
          <w:color w:val="323E4F" w:themeColor="text2" w:themeShade="BF"/>
        </w:rPr>
      </w:pPr>
    </w:p>
    <w:p w14:paraId="465EE443" w14:textId="77777777" w:rsidR="0031220F" w:rsidRDefault="0031220F" w:rsidP="00E8396E">
      <w:pPr>
        <w:rPr>
          <w:color w:val="323E4F" w:themeColor="text2" w:themeShade="BF"/>
        </w:rPr>
      </w:pPr>
    </w:p>
    <w:p w14:paraId="3409002E" w14:textId="1F4B1CF3" w:rsidR="00B1788E" w:rsidRPr="00B1788E" w:rsidRDefault="00B1788E" w:rsidP="00B1788E">
      <w:pPr>
        <w:pStyle w:val="ListParagraph"/>
        <w:numPr>
          <w:ilvl w:val="0"/>
          <w:numId w:val="8"/>
        </w:numPr>
        <w:rPr>
          <w:b/>
          <w:bCs/>
          <w:color w:val="323E4F" w:themeColor="text2" w:themeShade="BF"/>
        </w:rPr>
      </w:pPr>
      <w:r w:rsidRPr="00B1788E">
        <w:rPr>
          <w:b/>
          <w:bCs/>
          <w:color w:val="323E4F" w:themeColor="text2" w:themeShade="BF"/>
        </w:rPr>
        <w:lastRenderedPageBreak/>
        <w:t>Apprentice Restaurant</w:t>
      </w:r>
    </w:p>
    <w:p w14:paraId="720BA824" w14:textId="421B7861" w:rsidR="00B1788E" w:rsidRDefault="00B1788E" w:rsidP="00B1788E">
      <w:pPr>
        <w:rPr>
          <w:color w:val="323E4F" w:themeColor="text2" w:themeShade="BF"/>
        </w:rPr>
      </w:pPr>
      <w:r>
        <w:rPr>
          <w:color w:val="323E4F" w:themeColor="text2" w:themeShade="BF"/>
        </w:rPr>
        <w:t>Compliment from a member of the public who had a meal at the Granton restaurant.</w:t>
      </w:r>
    </w:p>
    <w:p w14:paraId="023428C8" w14:textId="77777777" w:rsidR="00B1788E" w:rsidRDefault="00B1788E" w:rsidP="00B1788E">
      <w:pPr>
        <w:rPr>
          <w:color w:val="323E4F" w:themeColor="text2" w:themeShade="BF"/>
        </w:rPr>
      </w:pPr>
    </w:p>
    <w:p w14:paraId="622BB551" w14:textId="1A8E032D" w:rsidR="00B1788E" w:rsidRDefault="00B1788E" w:rsidP="00B1788E">
      <w:pPr>
        <w:rPr>
          <w:color w:val="323E4F" w:themeColor="text2" w:themeShade="BF"/>
        </w:rPr>
      </w:pPr>
      <w:r>
        <w:rPr>
          <w:color w:val="323E4F" w:themeColor="text2" w:themeShade="BF"/>
        </w:rPr>
        <w:t>They were served by an attentive student, there were a couple of small errors however these were made up by offering them free drinks and apologising for the wait and mistake.</w:t>
      </w:r>
    </w:p>
    <w:p w14:paraId="3009787D" w14:textId="7E159109" w:rsidR="00B1788E" w:rsidRDefault="00B1788E" w:rsidP="00B1788E">
      <w:pPr>
        <w:rPr>
          <w:color w:val="323E4F" w:themeColor="text2" w:themeShade="BF"/>
        </w:rPr>
      </w:pPr>
      <w:r>
        <w:rPr>
          <w:color w:val="323E4F" w:themeColor="text2" w:themeShade="BF"/>
        </w:rPr>
        <w:t>They said that this was excellent service.</w:t>
      </w:r>
    </w:p>
    <w:p w14:paraId="2B281A77" w14:textId="77777777" w:rsidR="00B1788E" w:rsidRDefault="00B1788E" w:rsidP="00B1788E">
      <w:pPr>
        <w:rPr>
          <w:color w:val="323E4F" w:themeColor="text2" w:themeShade="BF"/>
        </w:rPr>
      </w:pPr>
    </w:p>
    <w:p w14:paraId="6200D935" w14:textId="6DE2E6FC" w:rsidR="00B1788E" w:rsidRDefault="00B1788E" w:rsidP="00B1788E">
      <w:pPr>
        <w:pStyle w:val="ListParagraph"/>
        <w:numPr>
          <w:ilvl w:val="0"/>
          <w:numId w:val="8"/>
        </w:numPr>
        <w:rPr>
          <w:b/>
          <w:bCs/>
          <w:color w:val="323E4F" w:themeColor="text2" w:themeShade="BF"/>
        </w:rPr>
      </w:pPr>
      <w:r w:rsidRPr="00B1788E">
        <w:rPr>
          <w:b/>
          <w:bCs/>
          <w:color w:val="323E4F" w:themeColor="text2" w:themeShade="BF"/>
        </w:rPr>
        <w:t>Student Services</w:t>
      </w:r>
    </w:p>
    <w:p w14:paraId="076859CB" w14:textId="1905C35F" w:rsidR="00B1788E" w:rsidRPr="00B1788E" w:rsidRDefault="00B1788E" w:rsidP="00B1788E">
      <w:pPr>
        <w:rPr>
          <w:color w:val="323E4F" w:themeColor="text2" w:themeShade="BF"/>
        </w:rPr>
      </w:pPr>
      <w:r w:rsidRPr="00B1788E">
        <w:rPr>
          <w:color w:val="323E4F" w:themeColor="text2" w:themeShade="BF"/>
        </w:rPr>
        <w:t xml:space="preserve">Compliment from a member of the public who was able to observe a member of student services staff who no matter the issue he was able to help, holding spaces for students with distinct needs. </w:t>
      </w:r>
      <w:r>
        <w:rPr>
          <w:color w:val="323E4F" w:themeColor="text2" w:themeShade="BF"/>
        </w:rPr>
        <w:t>They</w:t>
      </w:r>
      <w:r w:rsidR="00D512BF">
        <w:rPr>
          <w:color w:val="323E4F" w:themeColor="text2" w:themeShade="BF"/>
        </w:rPr>
        <w:t xml:space="preserve"> said that they</w:t>
      </w:r>
      <w:r>
        <w:rPr>
          <w:color w:val="323E4F" w:themeColor="text2" w:themeShade="BF"/>
        </w:rPr>
        <w:t xml:space="preserve"> are</w:t>
      </w:r>
      <w:r w:rsidRPr="00B1788E">
        <w:rPr>
          <w:color w:val="323E4F" w:themeColor="text2" w:themeShade="BF"/>
        </w:rPr>
        <w:t xml:space="preserve"> an asset to the college and the services we provide</w:t>
      </w:r>
      <w:r>
        <w:rPr>
          <w:color w:val="323E4F" w:themeColor="text2" w:themeShade="BF"/>
        </w:rPr>
        <w:t>.</w:t>
      </w:r>
      <w:bookmarkEnd w:id="13"/>
    </w:p>
    <w:sectPr w:rsidR="00B1788E" w:rsidRPr="00B1788E" w:rsidSect="00156C3A">
      <w:footerReference w:type="default" r:id="rId15"/>
      <w:pgSz w:w="11906" w:h="16838" w:code="9"/>
      <w:pgMar w:top="1418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759A" w14:textId="77777777" w:rsidR="004E0CAF" w:rsidRDefault="004E0CAF" w:rsidP="00156C3A">
      <w:r>
        <w:separator/>
      </w:r>
    </w:p>
  </w:endnote>
  <w:endnote w:type="continuationSeparator" w:id="0">
    <w:p w14:paraId="473DF627" w14:textId="77777777" w:rsidR="004E0CAF" w:rsidRDefault="004E0CAF" w:rsidP="001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F348" w14:textId="77777777" w:rsidR="008B752B" w:rsidRDefault="008B7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686D" w14:textId="77777777" w:rsidR="0018587A" w:rsidRPr="0018587A" w:rsidRDefault="0018587A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14:paraId="25A310EA" w14:textId="77777777" w:rsidR="0018587A" w:rsidRPr="0018587A" w:rsidRDefault="0018587A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018F" w14:textId="77777777" w:rsidR="008B752B" w:rsidRDefault="008B75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26A2" w14:textId="77777777" w:rsidR="00F15CF9" w:rsidRPr="0018587A" w:rsidRDefault="00F15CF9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14:paraId="765615CD" w14:textId="77777777" w:rsidR="00F15CF9" w:rsidRPr="0018587A" w:rsidRDefault="00F15CF9">
    <w:pPr>
      <w:pStyle w:val="Footer"/>
      <w:rPr>
        <w:sz w:val="12"/>
        <w:szCs w:val="12"/>
      </w:rPr>
    </w:pPr>
  </w:p>
  <w:p w14:paraId="5F8F4A8A" w14:textId="77777777" w:rsidR="00F15CF9" w:rsidRDefault="00F15CF9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3A78" w14:textId="77777777" w:rsidR="004E0CAF" w:rsidRDefault="004E0CAF" w:rsidP="00156C3A">
      <w:r>
        <w:separator/>
      </w:r>
    </w:p>
  </w:footnote>
  <w:footnote w:type="continuationSeparator" w:id="0">
    <w:p w14:paraId="7EAF6110" w14:textId="77777777" w:rsidR="004E0CAF" w:rsidRDefault="004E0CAF" w:rsidP="0015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383A" w14:textId="77777777" w:rsidR="008B752B" w:rsidRDefault="008B7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52FB" w14:textId="6DF719FB" w:rsidR="00156C3A" w:rsidRDefault="0018587A" w:rsidP="00E665AB">
    <w:pPr>
      <w:spacing w:after="80"/>
    </w:pPr>
    <w:r>
      <w:t>Complaints Handling</w:t>
    </w:r>
    <w:r w:rsidR="00E6655A">
      <w:t xml:space="preserve"> </w:t>
    </w:r>
    <w:r w:rsidR="00C033EA">
      <w:t>Quarter 1</w:t>
    </w:r>
    <w:r w:rsidR="00E6655A">
      <w:t xml:space="preserve"> Report August – October 202</w:t>
    </w:r>
    <w:r w:rsidR="008B752B">
      <w:t>5</w:t>
    </w:r>
  </w:p>
  <w:p w14:paraId="1F214944" w14:textId="77777777" w:rsidR="0018587A" w:rsidRPr="0018587A" w:rsidRDefault="0018587A" w:rsidP="0018587A">
    <w:pPr>
      <w:pBdr>
        <w:top w:val="thickThinMediumGap" w:sz="24" w:space="1" w:color="44546A" w:themeColor="text2"/>
      </w:pBdr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84CE" w14:textId="77777777" w:rsidR="008B752B" w:rsidRDefault="008B7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2694A"/>
    <w:multiLevelType w:val="hybridMultilevel"/>
    <w:tmpl w:val="0482704E"/>
    <w:lvl w:ilvl="0" w:tplc="AD56483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44DA9"/>
    <w:multiLevelType w:val="hybridMultilevel"/>
    <w:tmpl w:val="1536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C86"/>
    <w:multiLevelType w:val="hybridMultilevel"/>
    <w:tmpl w:val="E9C2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07678"/>
    <w:multiLevelType w:val="hybridMultilevel"/>
    <w:tmpl w:val="65866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374BC"/>
    <w:multiLevelType w:val="hybridMultilevel"/>
    <w:tmpl w:val="4A7A7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4372F"/>
    <w:multiLevelType w:val="hybridMultilevel"/>
    <w:tmpl w:val="85FE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B0BE5"/>
    <w:multiLevelType w:val="hybridMultilevel"/>
    <w:tmpl w:val="1946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24619"/>
    <w:multiLevelType w:val="hybridMultilevel"/>
    <w:tmpl w:val="D5DCEBD8"/>
    <w:lvl w:ilvl="0" w:tplc="A63822E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0748059">
    <w:abstractNumId w:val="7"/>
  </w:num>
  <w:num w:numId="2" w16cid:durableId="1241057463">
    <w:abstractNumId w:val="6"/>
  </w:num>
  <w:num w:numId="3" w16cid:durableId="904487475">
    <w:abstractNumId w:val="0"/>
  </w:num>
  <w:num w:numId="4" w16cid:durableId="1835683980">
    <w:abstractNumId w:val="1"/>
  </w:num>
  <w:num w:numId="5" w16cid:durableId="864753271">
    <w:abstractNumId w:val="2"/>
  </w:num>
  <w:num w:numId="6" w16cid:durableId="1229264252">
    <w:abstractNumId w:val="4"/>
  </w:num>
  <w:num w:numId="7" w16cid:durableId="555316303">
    <w:abstractNumId w:val="5"/>
  </w:num>
  <w:num w:numId="8" w16cid:durableId="1613979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4C"/>
    <w:rsid w:val="00043A4E"/>
    <w:rsid w:val="000922F7"/>
    <w:rsid w:val="000959B8"/>
    <w:rsid w:val="0011127B"/>
    <w:rsid w:val="00133641"/>
    <w:rsid w:val="00133678"/>
    <w:rsid w:val="00156C3A"/>
    <w:rsid w:val="00166519"/>
    <w:rsid w:val="0018587A"/>
    <w:rsid w:val="001B0371"/>
    <w:rsid w:val="001E2048"/>
    <w:rsid w:val="001E301C"/>
    <w:rsid w:val="00210BEC"/>
    <w:rsid w:val="002173BD"/>
    <w:rsid w:val="00253E2B"/>
    <w:rsid w:val="00291326"/>
    <w:rsid w:val="002A29DE"/>
    <w:rsid w:val="002D087A"/>
    <w:rsid w:val="002F0137"/>
    <w:rsid w:val="0031220F"/>
    <w:rsid w:val="00382EF5"/>
    <w:rsid w:val="003852E1"/>
    <w:rsid w:val="003A12D9"/>
    <w:rsid w:val="003C2605"/>
    <w:rsid w:val="003D789D"/>
    <w:rsid w:val="003F0767"/>
    <w:rsid w:val="003F5CA1"/>
    <w:rsid w:val="004068C3"/>
    <w:rsid w:val="004749B9"/>
    <w:rsid w:val="004771F9"/>
    <w:rsid w:val="00492F99"/>
    <w:rsid w:val="004E0CAF"/>
    <w:rsid w:val="004E3F36"/>
    <w:rsid w:val="005001E3"/>
    <w:rsid w:val="005070D1"/>
    <w:rsid w:val="005120E0"/>
    <w:rsid w:val="00526BCE"/>
    <w:rsid w:val="0054483A"/>
    <w:rsid w:val="00557C0C"/>
    <w:rsid w:val="00562981"/>
    <w:rsid w:val="0057009D"/>
    <w:rsid w:val="005A6263"/>
    <w:rsid w:val="005C4E07"/>
    <w:rsid w:val="005E05D4"/>
    <w:rsid w:val="005F6A68"/>
    <w:rsid w:val="00620CF7"/>
    <w:rsid w:val="00621F9B"/>
    <w:rsid w:val="00664E8D"/>
    <w:rsid w:val="006F1E23"/>
    <w:rsid w:val="00763815"/>
    <w:rsid w:val="007667C8"/>
    <w:rsid w:val="00784BA4"/>
    <w:rsid w:val="00796DAF"/>
    <w:rsid w:val="007A3229"/>
    <w:rsid w:val="007D37EF"/>
    <w:rsid w:val="007D5B8A"/>
    <w:rsid w:val="00803AEE"/>
    <w:rsid w:val="00840513"/>
    <w:rsid w:val="00854965"/>
    <w:rsid w:val="008557B2"/>
    <w:rsid w:val="008634CD"/>
    <w:rsid w:val="0086454C"/>
    <w:rsid w:val="008B62A6"/>
    <w:rsid w:val="008B752B"/>
    <w:rsid w:val="008E52FB"/>
    <w:rsid w:val="00902C06"/>
    <w:rsid w:val="00987E65"/>
    <w:rsid w:val="009C0887"/>
    <w:rsid w:val="009C156B"/>
    <w:rsid w:val="009C26B0"/>
    <w:rsid w:val="00A04AA2"/>
    <w:rsid w:val="00A57941"/>
    <w:rsid w:val="00A739F2"/>
    <w:rsid w:val="00A805E5"/>
    <w:rsid w:val="00AB041B"/>
    <w:rsid w:val="00AD76BD"/>
    <w:rsid w:val="00AF56A0"/>
    <w:rsid w:val="00B1788E"/>
    <w:rsid w:val="00B62792"/>
    <w:rsid w:val="00B81F02"/>
    <w:rsid w:val="00BD3CEB"/>
    <w:rsid w:val="00BE3D45"/>
    <w:rsid w:val="00C00B9F"/>
    <w:rsid w:val="00C033EA"/>
    <w:rsid w:val="00C240BA"/>
    <w:rsid w:val="00C32363"/>
    <w:rsid w:val="00C513EF"/>
    <w:rsid w:val="00C6352A"/>
    <w:rsid w:val="00CC2261"/>
    <w:rsid w:val="00D1453E"/>
    <w:rsid w:val="00D31C46"/>
    <w:rsid w:val="00D512BF"/>
    <w:rsid w:val="00D85CFB"/>
    <w:rsid w:val="00DA2D2F"/>
    <w:rsid w:val="00DB2E1A"/>
    <w:rsid w:val="00DF592D"/>
    <w:rsid w:val="00E40BDA"/>
    <w:rsid w:val="00E6655A"/>
    <w:rsid w:val="00E665AB"/>
    <w:rsid w:val="00E7327F"/>
    <w:rsid w:val="00E80893"/>
    <w:rsid w:val="00E8396E"/>
    <w:rsid w:val="00E932A1"/>
    <w:rsid w:val="00EB145A"/>
    <w:rsid w:val="00EF2518"/>
    <w:rsid w:val="00F15CF9"/>
    <w:rsid w:val="00F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F37FAD"/>
  <w15:chartTrackingRefBased/>
  <w15:docId w15:val="{519AA0D1-6FA9-454E-B647-F01CBB0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05"/>
    <w:pPr>
      <w:spacing w:after="0" w:line="240" w:lineRule="auto"/>
    </w:pPr>
    <w:rPr>
      <w:rFonts w:ascii="Arial" w:hAnsi="Arial"/>
      <w:color w:val="44546A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AB"/>
    <w:pPr>
      <w:keepNext/>
      <w:keepLines/>
      <w:outlineLvl w:val="0"/>
    </w:pPr>
    <w:rPr>
      <w:rFonts w:eastAsiaTheme="majorEastAsia" w:cstheme="majorBidi"/>
      <w:b/>
      <w:color w:val="95314E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65AB"/>
    <w:pPr>
      <w:keepNext/>
      <w:outlineLvl w:val="1"/>
    </w:pPr>
    <w:rPr>
      <w:rFonts w:eastAsia="Times New Roman" w:cs="Times New Roman"/>
      <w:b/>
      <w:color w:val="2F5496" w:themeColor="accent1" w:themeShade="B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5AB"/>
    <w:rPr>
      <w:rFonts w:ascii="Arial" w:eastAsia="Times New Roman" w:hAnsi="Arial" w:cs="Times New Roman"/>
      <w:b/>
      <w:color w:val="2F5496" w:themeColor="accent1" w:themeShade="BF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3A"/>
  </w:style>
  <w:style w:type="paragraph" w:styleId="Footer">
    <w:name w:val="footer"/>
    <w:basedOn w:val="Normal"/>
    <w:link w:val="Foot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3A"/>
  </w:style>
  <w:style w:type="character" w:customStyle="1" w:styleId="Heading1Char">
    <w:name w:val="Heading 1 Char"/>
    <w:basedOn w:val="DefaultParagraphFont"/>
    <w:link w:val="Heading1"/>
    <w:uiPriority w:val="9"/>
    <w:rsid w:val="00E665AB"/>
    <w:rPr>
      <w:rFonts w:ascii="Arial" w:eastAsiaTheme="majorEastAsia" w:hAnsi="Arial" w:cstheme="majorBidi"/>
      <w:b/>
      <w:color w:val="95314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58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1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15CF9"/>
    <w:p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C2605"/>
    <w:pPr>
      <w:ind w:left="221"/>
    </w:pPr>
    <w:rPr>
      <w:rFonts w:eastAsiaTheme="minorEastAsia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2605"/>
    <w:rPr>
      <w:rFonts w:eastAsiaTheme="minorEastAsia" w:cs="Times New Roman"/>
      <w:color w:val="2F5496" w:themeColor="accent1" w:themeShade="BF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C2605"/>
    <w:pPr>
      <w:spacing w:after="100"/>
    </w:pPr>
    <w:rPr>
      <w:rFonts w:asciiTheme="minorHAnsi" w:eastAsiaTheme="minorEastAsia" w:hAnsiTheme="minorHAnsi" w:cs="Times New Roman"/>
      <w:color w:val="auto"/>
      <w:lang w:val="en-US"/>
    </w:rPr>
  </w:style>
  <w:style w:type="character" w:styleId="Hyperlink">
    <w:name w:val="Hyperlink"/>
    <w:basedOn w:val="DefaultParagraphFont"/>
    <w:uiPriority w:val="99"/>
    <w:unhideWhenUsed/>
    <w:rsid w:val="003C26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C"/>
    <w:pPr>
      <w:numPr>
        <w:numId w:val="1"/>
      </w:numPr>
      <w:suppressAutoHyphens/>
      <w:spacing w:after="200" w:line="276" w:lineRule="atLeast"/>
    </w:pPr>
    <w:rPr>
      <w:rFonts w:eastAsia="Times New Roman" w:cs="Arial"/>
      <w:szCs w:val="20"/>
      <w:lang w:eastAsia="zh-CN"/>
    </w:rPr>
  </w:style>
  <w:style w:type="paragraph" w:customStyle="1" w:styleId="CharCharCharCharCharChar">
    <w:name w:val="Char Char Char Char Char Char"/>
    <w:basedOn w:val="Normal"/>
    <w:rsid w:val="00D85CFB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Default">
    <w:name w:val="Default"/>
    <w:rsid w:val="002A2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fulton-dick.INT\AppData\Local\Microsoft\Windows\INetCache\Content.Outlook\X9LWC6A8\Complaints%20Handling%20Yearl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DF98-7E61-41C5-AC58-07C1FB48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Complaints Handling Yearly Report</Template>
  <TotalTime>61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Handling Yearly Report 2021-22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Handling Yearly Report 2021-22</dc:title>
  <dc:subject/>
  <dc:creator>Claire Fulton-Dick</dc:creator>
  <cp:keywords/>
  <dc:description/>
  <cp:lastModifiedBy>Claire Fulton-Dick</cp:lastModifiedBy>
  <cp:revision>6</cp:revision>
  <dcterms:created xsi:type="dcterms:W3CDTF">2025-10-22T11:53:00Z</dcterms:created>
  <dcterms:modified xsi:type="dcterms:W3CDTF">2025-11-12T10:13:00Z</dcterms:modified>
</cp:coreProperties>
</file>